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0"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Normas pertinentes à gestão de convênios de saída </w:t>
      </w:r>
    </w:p>
    <w:p w:rsidR="00000000" w:rsidDel="00000000" w:rsidP="00000000" w:rsidRDefault="00000000" w:rsidRPr="00000000" w14:paraId="00000003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No âmbito das políticas relacionadas à estrutura física da atenção primária à saúde, é comum a celebração de convênios entre o estado e determinado município cujo objeto é a construção, a reforma ou a ampliação de Unidades Básicas de Saúde (UBS). Um convênio se caracteriza por ser um ajuste no qual há confluência de vontades em torno de determinado objetivo. Em geral, o estado entra com o incentivo financeiro e seu aparato de gestão e monitoramento, enquanto o município é responsável pela execução da obra, resumidamente.</w:t>
      </w:r>
    </w:p>
    <w:p w:rsidR="00000000" w:rsidDel="00000000" w:rsidP="00000000" w:rsidRDefault="00000000" w:rsidRPr="00000000" w14:paraId="00000005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A seguir, apresenta-se as normas que regem a matéria. Dentre suas disposições destaca-se: a necessidade de assinatura de termo de compromisso entre o estado e o beneficiário; o dever de indicar previamente quem serão as figuras do gestor e do fiscal do convênio; e a necessidade de inclusão de contrapartida municipal - quando existir - no momento do pagamento da primeira parcela, ou parcela única. Há também, vinculação do pagamento das parcelas seguintes à apresentação e/ou aprovação da prestação de contas de parcelas anteriores; bem como a necessidade de o convenente apresentar relatório de monitoramento da execução do convênio com periodicidade mínima de 6 meses. Prevê-se ao menos uma fiscalização obrigatória durante e outra após a vigência do convênio, a qual não pode ultrapassar os 60 meses de vigência total. Concluído o objeto, eventuais saldos na conta não utilizados para a construção, reforma ou ampliação poderão ser utilizados para acréscimo da meta física inicial, com prévia autorização do estado.</w:t>
      </w:r>
    </w:p>
    <w:p w:rsidR="00000000" w:rsidDel="00000000" w:rsidP="00000000" w:rsidRDefault="00000000" w:rsidRPr="00000000" w14:paraId="00000007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Decreto estadual nº 46.319 de 26 de setembro de 2013, que dispõe sobre as normas relativas à transferência de recursos financeiros da Administração Pública do Poder Executivo Estadual, mediante convênio’ de saída, e dá outras providências; o qual pode ser acessado pelo seguinte link: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https://www.almg.gov.br/consulte/legislacao/completa/completa.html?tipo=DEC&amp;num=46319&amp;comp=&amp;ano=2013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A Resolução Conjunta SEGOV/AGE nº 004, de 16 de setembro de 2015, que dispõe sobre a regulamentação do Decreto nº 46.319, de 26 de setembro de 2013, disponível no seguinte link: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http://www.agricultura.mg.gov.br/images/documentos/Convenio/Resoluo%20Conjunta%20SEGOV-AGE%20004%20de%2016_09_2015.pdf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jc w:val="both"/>
        <w:rPr>
          <w:u w:val="none"/>
        </w:rPr>
      </w:pPr>
      <w:r w:rsidDel="00000000" w:rsidR="00000000" w:rsidRPr="00000000">
        <w:rPr>
          <w:rtl w:val="0"/>
        </w:rPr>
        <w:t xml:space="preserve">Resolução SES/MG Nº 6255 , de 24 de maio de 2018, que dispõe sobre a gestão e fiscalização dos convênios de saída no âmbito da Secretaria de Estado de Saúde de Minas Gerais e dá outras providências; encontrada no endereço que se segue: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https://www.saude.mg.gov.br/images/documentos/RESOLU%C3%87%C3%83O_6255.pdf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sectPr>
      <w:headerReference r:id="rId9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hyperlink" Target="https://www.almg.gov.br/consulte/legislacao/completa/completa.html?tipo=DEC&amp;num=46319&amp;comp=&amp;ano=2013" TargetMode="External"/><Relationship Id="rId7" Type="http://schemas.openxmlformats.org/officeDocument/2006/relationships/hyperlink" Target="http://www.agricultura.mg.gov.br/images/documentos/Convenio/Resoluo%20Conjunta%20SEGOV-AGE%20004%20de%2016_09_2015.pdf" TargetMode="External"/><Relationship Id="rId8" Type="http://schemas.openxmlformats.org/officeDocument/2006/relationships/hyperlink" Target="https://www.saude.mg.gov.br/images/documentos/RESOLU%C3%87%C3%83O_625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