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3E751" w14:textId="7FB266AF" w:rsidR="008D766D" w:rsidRPr="00957637" w:rsidRDefault="008D766D" w:rsidP="00A35946">
      <w:pPr>
        <w:rPr>
          <w:rFonts w:cs="Arial"/>
          <w:b/>
          <w:szCs w:val="24"/>
        </w:rPr>
      </w:pPr>
      <w:r>
        <w:rPr>
          <w:rFonts w:cs="Arial"/>
          <w:b/>
          <w:szCs w:val="24"/>
        </w:rPr>
        <w:t xml:space="preserve">ANEXO I - </w:t>
      </w:r>
      <w:r w:rsidRPr="00957637">
        <w:rPr>
          <w:rFonts w:cs="Arial"/>
          <w:b/>
          <w:szCs w:val="24"/>
        </w:rPr>
        <w:t>Listagem de Não Conformidades</w:t>
      </w:r>
      <w:r w:rsidR="00CD32D6">
        <w:rPr>
          <w:rFonts w:cs="Arial"/>
          <w:b/>
          <w:szCs w:val="24"/>
        </w:rPr>
        <w:t xml:space="preserve"> (NCs)</w:t>
      </w:r>
      <w:r w:rsidRPr="00957637">
        <w:rPr>
          <w:rFonts w:cs="Arial"/>
          <w:b/>
          <w:szCs w:val="24"/>
        </w:rPr>
        <w:t xml:space="preserve"> previamente categorizadas pelo POP-T-DVMC-048</w:t>
      </w:r>
    </w:p>
    <w:p w14:paraId="1B4DF5FB" w14:textId="77777777" w:rsidR="008D766D" w:rsidRPr="00957637" w:rsidRDefault="008D766D" w:rsidP="008D766D">
      <w:pPr>
        <w:tabs>
          <w:tab w:val="left" w:pos="567"/>
        </w:tabs>
        <w:spacing w:before="120"/>
        <w:rPr>
          <w:rFonts w:cs="Arial"/>
          <w:szCs w:val="24"/>
        </w:rPr>
      </w:pPr>
      <w:r w:rsidRPr="00957637">
        <w:rPr>
          <w:rFonts w:cs="Arial"/>
          <w:szCs w:val="24"/>
        </w:rPr>
        <w:t>Não Conformidades (NCs) Maiores, dependendo da situação, poderão ser recategorizadas como Críticas, sendo tais situações indicadas com uma seta (↑).</w:t>
      </w:r>
    </w:p>
    <w:p w14:paraId="18E252DC" w14:textId="77777777" w:rsidR="008D766D" w:rsidRPr="00957637" w:rsidRDefault="008D766D" w:rsidP="008D766D">
      <w:pPr>
        <w:tabs>
          <w:tab w:val="left" w:pos="567"/>
        </w:tabs>
        <w:spacing w:before="120"/>
        <w:rPr>
          <w:rFonts w:cs="Arial"/>
          <w:szCs w:val="24"/>
        </w:rPr>
      </w:pPr>
      <w:r w:rsidRPr="00957637">
        <w:rPr>
          <w:rFonts w:cs="Arial"/>
          <w:szCs w:val="24"/>
        </w:rPr>
        <w:t>Para os produtos classificados como de baixo risco, as NC categorizadas como Críticas ou Maiores poderão ser recategorizadas como Maiores ou Menores. Entretanto, em situações extremas, como fraude (falsificação de dados, de documentos e de produtos), realização de serviços não autorizados/ licenciados ou sem garantia de segurança e eficácia, evidência de contaminação cruzada generalizada, infestação ou condições não sanitárias e desvios generalizados, as NCs Menores ou Maiores poderão ser categorizadas como Maiores ou Críticas.</w:t>
      </w:r>
    </w:p>
    <w:p w14:paraId="3D918FFF" w14:textId="77777777" w:rsidR="008D766D" w:rsidRPr="00957637" w:rsidRDefault="008D766D" w:rsidP="008D766D">
      <w:pPr>
        <w:tabs>
          <w:tab w:val="left" w:pos="567"/>
        </w:tabs>
        <w:spacing w:before="120"/>
        <w:rPr>
          <w:rFonts w:cs="Arial"/>
          <w:szCs w:val="24"/>
        </w:rPr>
      </w:pPr>
      <w:r w:rsidRPr="00957637">
        <w:rPr>
          <w:rFonts w:cs="Arial"/>
          <w:szCs w:val="24"/>
        </w:rPr>
        <w:t>A lista a seguir não é exaustiva, situações não descritas devem ser avaliadas e categorizadas pela equipe inspetora de acordo com a figura 1 do POP-T-DVMC-048.</w:t>
      </w:r>
    </w:p>
    <w:p w14:paraId="144E0DD2" w14:textId="77777777" w:rsidR="008D766D" w:rsidRPr="00957637" w:rsidRDefault="008D766D" w:rsidP="008D766D">
      <w:pPr>
        <w:tabs>
          <w:tab w:val="left" w:pos="567"/>
        </w:tabs>
        <w:spacing w:before="120"/>
        <w:rPr>
          <w:rFonts w:cs="Arial"/>
          <w:szCs w:val="24"/>
        </w:rPr>
      </w:pPr>
    </w:p>
    <w:p w14:paraId="1174DF26" w14:textId="77777777" w:rsidR="008D766D" w:rsidRPr="00957637" w:rsidRDefault="008D766D" w:rsidP="008D766D">
      <w:pPr>
        <w:numPr>
          <w:ilvl w:val="0"/>
          <w:numId w:val="1"/>
        </w:numPr>
        <w:tabs>
          <w:tab w:val="left" w:pos="0"/>
          <w:tab w:val="left" w:pos="567"/>
        </w:tabs>
        <w:spacing w:before="120"/>
        <w:ind w:left="0" w:firstLine="0"/>
        <w:rPr>
          <w:rFonts w:cs="Arial"/>
          <w:b/>
          <w:szCs w:val="24"/>
        </w:rPr>
      </w:pPr>
      <w:r w:rsidRPr="00957637">
        <w:rPr>
          <w:rFonts w:cs="Arial"/>
          <w:b/>
          <w:szCs w:val="24"/>
        </w:rPr>
        <w:t>GENERALIDADES</w:t>
      </w:r>
    </w:p>
    <w:p w14:paraId="4BA16E93"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Críticas</w:t>
      </w:r>
      <w:r w:rsidRPr="00957637">
        <w:rPr>
          <w:rFonts w:cs="Arial"/>
          <w:b/>
          <w:szCs w:val="24"/>
        </w:rPr>
        <w:t>:</w:t>
      </w:r>
    </w:p>
    <w:p w14:paraId="0B1BD8F8"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Estabelecimento sem Autorização de Funcionamento, Autorização Especial ou Alvará Sanitário (↓).</w:t>
      </w:r>
    </w:p>
    <w:p w14:paraId="465F5439"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Propaganda irregular de medicamentos sob prescrição médica.</w:t>
      </w:r>
    </w:p>
    <w:p w14:paraId="522ED60A"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Maiores</w:t>
      </w:r>
      <w:r w:rsidRPr="00957637">
        <w:rPr>
          <w:rFonts w:cs="Arial"/>
          <w:b/>
          <w:szCs w:val="24"/>
        </w:rPr>
        <w:t>:</w:t>
      </w:r>
    </w:p>
    <w:p w14:paraId="69D61479"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do responsável técnico durante todo o horário de funcionamento.</w:t>
      </w:r>
    </w:p>
    <w:p w14:paraId="54DC53CD"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Propaganda irregular de medicamentos não sujeitos à pre</w:t>
      </w:r>
      <w:r w:rsidR="00FC4033">
        <w:rPr>
          <w:rFonts w:cs="Arial"/>
          <w:szCs w:val="24"/>
        </w:rPr>
        <w:t>s</w:t>
      </w:r>
      <w:r w:rsidRPr="00957637">
        <w:rPr>
          <w:rFonts w:cs="Arial"/>
          <w:szCs w:val="24"/>
        </w:rPr>
        <w:t>crição médica.</w:t>
      </w:r>
    </w:p>
    <w:p w14:paraId="2387C44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Descumprimento às regras para programas de fidelização dirigidos ao consumidor e anúncio de desconto de medicamentos.</w:t>
      </w:r>
    </w:p>
    <w:p w14:paraId="2A80B0D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lastRenderedPageBreak/>
        <w:t>Descumprimento à proibição de propaganda de médicos, laboratórios, ópticas e outros nas dependências das farmácias.</w:t>
      </w:r>
    </w:p>
    <w:p w14:paraId="260D80BA"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Certidão do Conselho Regional de Farmácia.</w:t>
      </w:r>
    </w:p>
    <w:p w14:paraId="6F1017C4"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Menores</w:t>
      </w:r>
      <w:r w:rsidRPr="00957637">
        <w:rPr>
          <w:rFonts w:cs="Arial"/>
          <w:b/>
          <w:szCs w:val="24"/>
        </w:rPr>
        <w:t>:</w:t>
      </w:r>
    </w:p>
    <w:p w14:paraId="576C9CE2" w14:textId="77777777" w:rsidR="008D766D" w:rsidRPr="00957637" w:rsidRDefault="008D766D" w:rsidP="008D766D">
      <w:pPr>
        <w:numPr>
          <w:ilvl w:val="0"/>
          <w:numId w:val="2"/>
        </w:numPr>
        <w:tabs>
          <w:tab w:val="left" w:pos="0"/>
          <w:tab w:val="left" w:pos="567"/>
        </w:tabs>
        <w:spacing w:before="120"/>
        <w:rPr>
          <w:rFonts w:cs="Arial"/>
          <w:szCs w:val="24"/>
        </w:rPr>
      </w:pPr>
      <w:r w:rsidRPr="00957637">
        <w:rPr>
          <w:rFonts w:cs="Arial"/>
          <w:szCs w:val="24"/>
        </w:rPr>
        <w:t>Autorização de Funcionamento ou Alvará Sanitário com ausência de atividades realizadas pelo estabelecimento (↑).</w:t>
      </w:r>
    </w:p>
    <w:p w14:paraId="7CCB6C7B" w14:textId="77777777" w:rsidR="008D766D" w:rsidRPr="00957637" w:rsidRDefault="008D766D" w:rsidP="008D766D">
      <w:pPr>
        <w:numPr>
          <w:ilvl w:val="0"/>
          <w:numId w:val="2"/>
        </w:numPr>
        <w:tabs>
          <w:tab w:val="left" w:pos="0"/>
          <w:tab w:val="left" w:pos="567"/>
        </w:tabs>
        <w:spacing w:before="120"/>
        <w:rPr>
          <w:rFonts w:cs="Arial"/>
          <w:szCs w:val="24"/>
        </w:rPr>
      </w:pPr>
      <w:r w:rsidRPr="00957637">
        <w:rPr>
          <w:rFonts w:cs="Arial"/>
          <w:szCs w:val="24"/>
        </w:rPr>
        <w:t>Alvará Sanitário não afixado em local visível ao público.</w:t>
      </w:r>
    </w:p>
    <w:p w14:paraId="230D977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de cadastro para dispensação de medicamentos Retinóides, quando realizada.</w:t>
      </w:r>
    </w:p>
    <w:p w14:paraId="5B7919A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de documentos de regularização junto ao Corpo de Bombeiros, quando pertinente.</w:t>
      </w:r>
    </w:p>
    <w:p w14:paraId="4FD92E6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de Programa de Prevenção dos Riscos Ambient</w:t>
      </w:r>
      <w:r w:rsidR="00FC4033">
        <w:rPr>
          <w:rFonts w:cs="Arial"/>
          <w:szCs w:val="24"/>
        </w:rPr>
        <w:t>ais</w:t>
      </w:r>
      <w:r w:rsidRPr="00957637">
        <w:rPr>
          <w:rFonts w:cs="Arial"/>
          <w:szCs w:val="24"/>
        </w:rPr>
        <w:t xml:space="preserve"> e Programa de Controle Médico de Saúde Ocupacional atualizados e devidamente assinados pelos responsáveis, quando pertinente (↑).</w:t>
      </w:r>
    </w:p>
    <w:p w14:paraId="59D6C584"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de área para a separação de resíduos, bem como falha nesse procedimento.</w:t>
      </w:r>
    </w:p>
    <w:p w14:paraId="1F644274"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ou irregularidades no organograma, atribuições formalizadas, procedimentos de acesso às áreas, paramentação e higiene pessoal, conduta de operadores nas áreas de manipulação e limpeza de uniformes.</w:t>
      </w:r>
    </w:p>
    <w:p w14:paraId="64562C63"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ou irregularidade em procedimentos e registro de controles de pragas, procedimentos de limpeza e sanitização.</w:t>
      </w:r>
    </w:p>
    <w:p w14:paraId="58F1C068" w14:textId="77777777" w:rsidR="008D766D" w:rsidRPr="00FC4033" w:rsidRDefault="008D766D" w:rsidP="00FC4033">
      <w:pPr>
        <w:numPr>
          <w:ilvl w:val="0"/>
          <w:numId w:val="2"/>
        </w:numPr>
        <w:tabs>
          <w:tab w:val="left" w:pos="0"/>
          <w:tab w:val="left" w:pos="567"/>
        </w:tabs>
        <w:spacing w:before="120"/>
        <w:ind w:left="567" w:hanging="283"/>
        <w:rPr>
          <w:rFonts w:cs="Arial"/>
          <w:szCs w:val="24"/>
        </w:rPr>
      </w:pPr>
      <w:r w:rsidRPr="00957637">
        <w:rPr>
          <w:rFonts w:cs="Arial"/>
          <w:szCs w:val="24"/>
        </w:rPr>
        <w:t>Certidão do Conselho Regional de Farmácia, com validade expirada ou não afixada em local visível ao público.</w:t>
      </w:r>
    </w:p>
    <w:p w14:paraId="4D6F4BF1" w14:textId="77777777" w:rsidR="008D766D" w:rsidRPr="00957637" w:rsidRDefault="008D766D" w:rsidP="008D766D">
      <w:pPr>
        <w:numPr>
          <w:ilvl w:val="0"/>
          <w:numId w:val="1"/>
        </w:numPr>
        <w:tabs>
          <w:tab w:val="left" w:pos="0"/>
          <w:tab w:val="left" w:pos="567"/>
        </w:tabs>
        <w:spacing w:before="120"/>
        <w:ind w:left="0" w:firstLine="0"/>
        <w:rPr>
          <w:rFonts w:cs="Arial"/>
          <w:b/>
          <w:szCs w:val="24"/>
        </w:rPr>
      </w:pPr>
      <w:r w:rsidRPr="00957637">
        <w:rPr>
          <w:rFonts w:cs="Arial"/>
          <w:b/>
          <w:szCs w:val="24"/>
        </w:rPr>
        <w:t>DOCUMENTAÇÃO (MANUAL DE BOAS PRÁTICAS)</w:t>
      </w:r>
    </w:p>
    <w:p w14:paraId="41C1478C" w14:textId="77777777" w:rsidR="008D766D" w:rsidRPr="00957637" w:rsidRDefault="008D766D" w:rsidP="008D766D">
      <w:pPr>
        <w:tabs>
          <w:tab w:val="left" w:pos="567"/>
        </w:tabs>
        <w:spacing w:before="120"/>
        <w:rPr>
          <w:rFonts w:cs="Arial"/>
          <w:b/>
          <w:bCs/>
          <w:color w:val="000000"/>
          <w:szCs w:val="24"/>
        </w:rPr>
      </w:pPr>
      <w:r w:rsidRPr="00957637">
        <w:rPr>
          <w:rFonts w:cs="Arial"/>
          <w:b/>
          <w:bCs/>
          <w:color w:val="000000"/>
          <w:szCs w:val="24"/>
          <w:u w:val="single"/>
        </w:rPr>
        <w:lastRenderedPageBreak/>
        <w:t>Não Conformidades Maiores</w:t>
      </w:r>
      <w:r w:rsidRPr="00957637">
        <w:rPr>
          <w:rFonts w:cs="Arial"/>
          <w:b/>
          <w:bCs/>
          <w:color w:val="000000"/>
          <w:szCs w:val="24"/>
        </w:rPr>
        <w:t>:</w:t>
      </w:r>
    </w:p>
    <w:p w14:paraId="2EE2AE63" w14:textId="77777777" w:rsidR="008D766D" w:rsidRPr="00FC4033" w:rsidRDefault="008D766D" w:rsidP="008D766D">
      <w:pPr>
        <w:numPr>
          <w:ilvl w:val="0"/>
          <w:numId w:val="2"/>
        </w:numPr>
        <w:tabs>
          <w:tab w:val="left" w:pos="0"/>
          <w:tab w:val="left" w:pos="567"/>
        </w:tabs>
        <w:spacing w:before="120"/>
        <w:ind w:left="567" w:hanging="283"/>
        <w:rPr>
          <w:rFonts w:cs="Arial"/>
          <w:szCs w:val="24"/>
        </w:rPr>
      </w:pPr>
      <w:r w:rsidRPr="00FC4033">
        <w:rPr>
          <w:rFonts w:cs="Arial"/>
          <w:szCs w:val="24"/>
        </w:rPr>
        <w:t>Ausência de Manual de Boas Práticas Farmacêuticas, conforme a legislação vigente e as especificidades do estabelecimento.</w:t>
      </w:r>
    </w:p>
    <w:p w14:paraId="4948CE5A" w14:textId="77777777" w:rsidR="008D766D" w:rsidRPr="00FC4033" w:rsidRDefault="008D766D" w:rsidP="008D766D">
      <w:pPr>
        <w:numPr>
          <w:ilvl w:val="0"/>
          <w:numId w:val="2"/>
        </w:numPr>
        <w:tabs>
          <w:tab w:val="left" w:pos="0"/>
          <w:tab w:val="left" w:pos="567"/>
        </w:tabs>
        <w:spacing w:before="120"/>
        <w:ind w:left="567" w:hanging="283"/>
        <w:rPr>
          <w:rFonts w:cs="Arial"/>
          <w:szCs w:val="24"/>
        </w:rPr>
      </w:pPr>
      <w:r w:rsidRPr="00FC4033">
        <w:rPr>
          <w:rFonts w:cs="Arial"/>
          <w:szCs w:val="24"/>
        </w:rPr>
        <w:t>Ausência de descrição no Manual de Boas Práticas Farmacêuticas da política da empresa em relação aos produtos com prazo de validade próximo ao vencimento, que deve estar clara a todos os funcionários da empresa.</w:t>
      </w:r>
    </w:p>
    <w:p w14:paraId="092129FE" w14:textId="77777777" w:rsidR="008D766D" w:rsidRPr="00FC4033" w:rsidRDefault="008D766D" w:rsidP="008D766D">
      <w:pPr>
        <w:numPr>
          <w:ilvl w:val="0"/>
          <w:numId w:val="2"/>
        </w:numPr>
        <w:tabs>
          <w:tab w:val="left" w:pos="0"/>
          <w:tab w:val="left" w:pos="567"/>
        </w:tabs>
        <w:spacing w:before="120"/>
        <w:ind w:left="567" w:hanging="283"/>
        <w:rPr>
          <w:rFonts w:cs="Arial"/>
          <w:szCs w:val="24"/>
        </w:rPr>
      </w:pPr>
      <w:r w:rsidRPr="00FC4033">
        <w:rPr>
          <w:rFonts w:cs="Arial"/>
          <w:szCs w:val="24"/>
        </w:rPr>
        <w:t>Fornecedores de produtos ou de prestadores de serviços não devidamente qualificados ou em situação irregular.</w:t>
      </w:r>
    </w:p>
    <w:p w14:paraId="585499D6"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Menores</w:t>
      </w:r>
      <w:r w:rsidRPr="00957637">
        <w:rPr>
          <w:rFonts w:cs="Arial"/>
          <w:b/>
          <w:szCs w:val="24"/>
        </w:rPr>
        <w:t>:</w:t>
      </w:r>
    </w:p>
    <w:p w14:paraId="409E9928" w14:textId="77777777" w:rsidR="008D766D" w:rsidRPr="00FC4033" w:rsidRDefault="008D766D" w:rsidP="00FC4033">
      <w:pPr>
        <w:numPr>
          <w:ilvl w:val="0"/>
          <w:numId w:val="2"/>
        </w:numPr>
        <w:tabs>
          <w:tab w:val="left" w:pos="0"/>
          <w:tab w:val="left" w:pos="567"/>
        </w:tabs>
        <w:spacing w:before="120"/>
        <w:ind w:left="567" w:hanging="283"/>
        <w:rPr>
          <w:rFonts w:cs="Arial"/>
          <w:szCs w:val="24"/>
        </w:rPr>
      </w:pPr>
      <w:r w:rsidRPr="00957637">
        <w:rPr>
          <w:rFonts w:cs="Arial"/>
          <w:szCs w:val="24"/>
        </w:rPr>
        <w:t>Ausência de descrição de atribuições e responsabilidades individuais no Manual de Boas Práticas.</w:t>
      </w:r>
    </w:p>
    <w:p w14:paraId="1F667B62" w14:textId="77777777" w:rsidR="008D766D" w:rsidRPr="00957637" w:rsidRDefault="008D766D" w:rsidP="008D766D">
      <w:pPr>
        <w:numPr>
          <w:ilvl w:val="0"/>
          <w:numId w:val="1"/>
        </w:numPr>
        <w:tabs>
          <w:tab w:val="left" w:pos="0"/>
          <w:tab w:val="left" w:pos="567"/>
        </w:tabs>
        <w:spacing w:before="120"/>
        <w:ind w:left="0" w:firstLine="0"/>
        <w:rPr>
          <w:rFonts w:cs="Arial"/>
          <w:b/>
          <w:szCs w:val="24"/>
        </w:rPr>
      </w:pPr>
      <w:r w:rsidRPr="00957637">
        <w:rPr>
          <w:rFonts w:cs="Arial"/>
          <w:b/>
          <w:szCs w:val="24"/>
        </w:rPr>
        <w:t>DOCUMENTAÇÃO (PROCEDIMENTOS E REGISTROS)</w:t>
      </w:r>
    </w:p>
    <w:p w14:paraId="39982F00"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Críticas</w:t>
      </w:r>
      <w:r w:rsidRPr="00957637">
        <w:rPr>
          <w:rFonts w:cs="Arial"/>
          <w:b/>
          <w:szCs w:val="24"/>
        </w:rPr>
        <w:t>:</w:t>
      </w:r>
    </w:p>
    <w:p w14:paraId="1E4FE905"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Não cumprimento do período mínimo de retenção de documentos, estabelecido pelas legislações sanitárias vigentes, e sua disponibilização ao órgão de vigilância sanitária competente para fiscalização.</w:t>
      </w:r>
    </w:p>
    <w:p w14:paraId="7AAB2C5F" w14:textId="77777777" w:rsidR="008D766D" w:rsidRPr="00957637" w:rsidRDefault="008D766D" w:rsidP="008D766D">
      <w:pPr>
        <w:tabs>
          <w:tab w:val="left" w:pos="567"/>
        </w:tabs>
        <w:spacing w:before="120"/>
        <w:rPr>
          <w:rFonts w:cs="Arial"/>
          <w:b/>
          <w:bCs/>
          <w:color w:val="000000"/>
          <w:szCs w:val="24"/>
        </w:rPr>
      </w:pPr>
      <w:r w:rsidRPr="00957637">
        <w:rPr>
          <w:rFonts w:cs="Arial"/>
          <w:b/>
          <w:bCs/>
          <w:color w:val="000000"/>
          <w:szCs w:val="24"/>
          <w:u w:val="single"/>
        </w:rPr>
        <w:t>Não Conformidades Maiores</w:t>
      </w:r>
      <w:r w:rsidRPr="00957637">
        <w:rPr>
          <w:rFonts w:cs="Arial"/>
          <w:b/>
          <w:bCs/>
          <w:color w:val="000000"/>
          <w:szCs w:val="24"/>
        </w:rPr>
        <w:t>:</w:t>
      </w:r>
    </w:p>
    <w:p w14:paraId="13D22443"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 xml:space="preserve">Ausência de Procedimentos Operacionais Padrão (POPs) referentes, no mínimo, às seguintes atividades: </w:t>
      </w:r>
      <w:r w:rsidRPr="00957637">
        <w:t xml:space="preserve">manutenção das condições higiênicas e sanitárias adequadas a cada ambiente da farmácia ou drogaria; aquisição e recebimento dos produtos de comercialização permitida; exposição e organização dos produtos paracomercialização; destino dos produtos com prazos de validade vencidos; destinação dos produtos próximos ao vencimento; utilização de materiais </w:t>
      </w:r>
      <w:r w:rsidRPr="00957637">
        <w:lastRenderedPageBreak/>
        <w:t xml:space="preserve">descartáveis e sua destinação após o uso; e outros necessários conforme legislação sanitária vigente. </w:t>
      </w:r>
      <w:r w:rsidRPr="00957637">
        <w:rPr>
          <w:rFonts w:cs="Arial"/>
          <w:szCs w:val="24"/>
        </w:rPr>
        <w:t>(↓)</w:t>
      </w:r>
    </w:p>
    <w:p w14:paraId="7FC5D99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Ausência de registros de aprovação, assinatura e data dos POPs pelo farmacêutico responsável técnico.</w:t>
      </w:r>
    </w:p>
    <w:p w14:paraId="643A0325"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Ausência de registros referentes a, no mínimo, os seguintes itens: divulgação do conteúdo dos Procedimentos Operacionais Padrão (POPs) aos funcionários, de acordo com as atividades por eles realizadas; execução de programa de combate a insetos e roedores; e outros exigidos pela legislação sanitária vigente.</w:t>
      </w:r>
    </w:p>
    <w:p w14:paraId="20979BC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Ausência de capacitação dos funcionários (com registros) quanto ao cumprimento da legislação sanitária e dos Procedimentos Operacionais Padrão (POPs) do estabelecimento.</w:t>
      </w:r>
    </w:p>
    <w:p w14:paraId="733EF18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Ausência de registro de treinamento inicial e contínuo de todo pessoal, inclusive de limpeza e manutenção, com relação à importância do auto cuidado, incluídas instruções de higiene pessoal e de ambiente, saúde, conduta e elementos básicos de microbiologia.</w:t>
      </w:r>
    </w:p>
    <w:p w14:paraId="50C4037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 xml:space="preserve">Ausência de Plano de Gerenciamento de Resíduos de Serviços de Saúde </w:t>
      </w:r>
      <w:r w:rsidR="00FC4033">
        <w:rPr>
          <w:rFonts w:cs="Arial"/>
          <w:bCs/>
          <w:color w:val="000000"/>
          <w:szCs w:val="24"/>
        </w:rPr>
        <w:t>(</w:t>
      </w:r>
      <w:r w:rsidRPr="00957637">
        <w:rPr>
          <w:rFonts w:cs="Arial"/>
          <w:bCs/>
          <w:color w:val="000000"/>
          <w:szCs w:val="24"/>
        </w:rPr>
        <w:t>PGRSS</w:t>
      </w:r>
      <w:r w:rsidR="00FC4033">
        <w:rPr>
          <w:rFonts w:cs="Arial"/>
          <w:bCs/>
          <w:color w:val="000000"/>
          <w:szCs w:val="24"/>
        </w:rPr>
        <w:t>)</w:t>
      </w:r>
      <w:r w:rsidRPr="00957637">
        <w:rPr>
          <w:rFonts w:cs="Arial"/>
          <w:bCs/>
          <w:color w:val="000000"/>
          <w:szCs w:val="24"/>
        </w:rPr>
        <w:t>.</w:t>
      </w:r>
    </w:p>
    <w:p w14:paraId="0AC67E3F"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 xml:space="preserve">Ausência de registro de treinamento inicial e contínuo quanto ao uso e descarte de </w:t>
      </w:r>
      <w:r w:rsidR="00F579CC">
        <w:rPr>
          <w:rFonts w:cs="Arial"/>
          <w:szCs w:val="24"/>
        </w:rPr>
        <w:t>e</w:t>
      </w:r>
      <w:r w:rsidR="00F579CC" w:rsidRPr="007D26CD">
        <w:rPr>
          <w:rFonts w:cs="Arial"/>
          <w:szCs w:val="24"/>
        </w:rPr>
        <w:t xml:space="preserve">quipamentos de </w:t>
      </w:r>
      <w:r w:rsidR="00F579CC">
        <w:rPr>
          <w:rFonts w:cs="Arial"/>
          <w:szCs w:val="24"/>
        </w:rPr>
        <w:t>p</w:t>
      </w:r>
      <w:r w:rsidR="00F579CC" w:rsidRPr="007D26CD">
        <w:rPr>
          <w:rFonts w:cs="Arial"/>
          <w:szCs w:val="24"/>
        </w:rPr>
        <w:t xml:space="preserve">roteção </w:t>
      </w:r>
      <w:r w:rsidR="00F579CC">
        <w:rPr>
          <w:rFonts w:cs="Arial"/>
          <w:szCs w:val="24"/>
        </w:rPr>
        <w:t>i</w:t>
      </w:r>
      <w:r w:rsidR="00F579CC" w:rsidRPr="007D26CD">
        <w:rPr>
          <w:rFonts w:cs="Arial"/>
          <w:szCs w:val="24"/>
        </w:rPr>
        <w:t>ndividual</w:t>
      </w:r>
      <w:r w:rsidR="00F579CC">
        <w:rPr>
          <w:rFonts w:cs="Arial"/>
          <w:szCs w:val="24"/>
        </w:rPr>
        <w:t>,</w:t>
      </w:r>
      <w:r w:rsidRPr="00957637">
        <w:rPr>
          <w:rFonts w:cs="Arial"/>
          <w:bCs/>
          <w:color w:val="000000"/>
          <w:szCs w:val="24"/>
        </w:rPr>
        <w:t xml:space="preserve"> de acordo com Plano de Gerenciamento de Resíduos de Serviços de Saúde</w:t>
      </w:r>
      <w:r w:rsidR="00FC4033">
        <w:rPr>
          <w:rFonts w:cs="Arial"/>
          <w:bCs/>
          <w:color w:val="000000"/>
          <w:szCs w:val="24"/>
        </w:rPr>
        <w:t xml:space="preserve"> (</w:t>
      </w:r>
      <w:r w:rsidRPr="00957637">
        <w:rPr>
          <w:rFonts w:cs="Arial"/>
          <w:bCs/>
          <w:color w:val="000000"/>
          <w:szCs w:val="24"/>
        </w:rPr>
        <w:t>PGRSS</w:t>
      </w:r>
      <w:r w:rsidR="00FC4033">
        <w:rPr>
          <w:rFonts w:cs="Arial"/>
          <w:bCs/>
          <w:color w:val="000000"/>
          <w:szCs w:val="24"/>
        </w:rPr>
        <w:t>)</w:t>
      </w:r>
      <w:r w:rsidRPr="00957637">
        <w:rPr>
          <w:rFonts w:cs="Arial"/>
          <w:bCs/>
          <w:color w:val="000000"/>
          <w:szCs w:val="24"/>
        </w:rPr>
        <w:t>.</w:t>
      </w:r>
    </w:p>
    <w:p w14:paraId="7BE5F453"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bCs/>
          <w:color w:val="000000"/>
          <w:szCs w:val="24"/>
        </w:rPr>
        <w:t>Ausência de registro de treinamento sobre procedimentos a serem adotados em caso de acidentes (especialmente envolvendo material biológico) e episódios envolvendo risco à saúde dos funcionários ou dos usuários.</w:t>
      </w:r>
    </w:p>
    <w:p w14:paraId="3FDB1242" w14:textId="77777777" w:rsidR="008D766D" w:rsidRPr="00957637" w:rsidRDefault="008D766D" w:rsidP="008D766D">
      <w:pPr>
        <w:numPr>
          <w:ilvl w:val="0"/>
          <w:numId w:val="2"/>
        </w:numPr>
        <w:tabs>
          <w:tab w:val="left" w:pos="0"/>
          <w:tab w:val="left" w:pos="567"/>
        </w:tabs>
        <w:spacing w:before="120"/>
        <w:ind w:left="567" w:hanging="283"/>
        <w:rPr>
          <w:rFonts w:cs="Arial"/>
          <w:bCs/>
          <w:color w:val="000000"/>
          <w:szCs w:val="24"/>
        </w:rPr>
      </w:pPr>
      <w:r w:rsidRPr="00957637">
        <w:rPr>
          <w:rFonts w:cs="Arial"/>
          <w:bCs/>
          <w:color w:val="000000"/>
          <w:szCs w:val="24"/>
        </w:rPr>
        <w:lastRenderedPageBreak/>
        <w:t>Ausência de POPs contendo as condições para o transporte, quando houver solicitação remota; e/ou ausência de registros de terceirização do serviço de transporte por empresa devidamente regularizada.</w:t>
      </w:r>
    </w:p>
    <w:p w14:paraId="52583C6D" w14:textId="77777777" w:rsidR="008D766D" w:rsidRPr="00957637" w:rsidRDefault="008D766D" w:rsidP="008D766D">
      <w:pPr>
        <w:tabs>
          <w:tab w:val="left" w:pos="567"/>
        </w:tabs>
        <w:spacing w:before="120"/>
        <w:ind w:left="284"/>
        <w:rPr>
          <w:rFonts w:cs="Arial"/>
          <w:b/>
          <w:szCs w:val="24"/>
        </w:rPr>
      </w:pPr>
    </w:p>
    <w:p w14:paraId="1E130242"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ÁREAS FÍSICAS (INFRAESTRUTURA FÍSICA)</w:t>
      </w:r>
    </w:p>
    <w:p w14:paraId="5A4A5D97"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71F54BD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no mínimo os ambientes para atividades administrativas, recebimento e armazenamento dos produtos, dispensação de medicamentos, depósito de material de limpeza e sanitário e copa.</w:t>
      </w:r>
    </w:p>
    <w:p w14:paraId="6A6C273D" w14:textId="0E62645C" w:rsidR="008D766D" w:rsidRPr="00A35946" w:rsidRDefault="008D766D" w:rsidP="008D766D">
      <w:pPr>
        <w:numPr>
          <w:ilvl w:val="0"/>
          <w:numId w:val="2"/>
        </w:numPr>
        <w:tabs>
          <w:tab w:val="left" w:pos="0"/>
          <w:tab w:val="left" w:pos="567"/>
        </w:tabs>
        <w:spacing w:before="120"/>
        <w:ind w:left="567" w:hanging="283"/>
        <w:rPr>
          <w:rFonts w:cs="Arial"/>
          <w:szCs w:val="24"/>
        </w:rPr>
      </w:pPr>
      <w:r w:rsidRPr="00957637">
        <w:t>Possuir comunicação com residências ou qualquer outro local distinto do estabelecimento.</w:t>
      </w:r>
    </w:p>
    <w:p w14:paraId="6FB0C61B" w14:textId="14DBBE48" w:rsidR="00A35946" w:rsidRPr="00A35946" w:rsidRDefault="00A35946" w:rsidP="00A35946">
      <w:pPr>
        <w:numPr>
          <w:ilvl w:val="0"/>
          <w:numId w:val="2"/>
        </w:numPr>
        <w:tabs>
          <w:tab w:val="left" w:pos="0"/>
          <w:tab w:val="left" w:pos="567"/>
        </w:tabs>
        <w:spacing w:before="120"/>
        <w:rPr>
          <w:rFonts w:cs="Arial"/>
          <w:szCs w:val="24"/>
        </w:rPr>
      </w:pPr>
      <w:r w:rsidRPr="00957637">
        <w:rPr>
          <w:rFonts w:cs="Arial"/>
          <w:szCs w:val="24"/>
        </w:rPr>
        <w:t xml:space="preserve">Não possuir projeto arquitetônico aprovado pela </w:t>
      </w:r>
      <w:r>
        <w:rPr>
          <w:rFonts w:cs="Arial"/>
          <w:szCs w:val="24"/>
        </w:rPr>
        <w:t>v</w:t>
      </w:r>
      <w:r w:rsidRPr="00957637">
        <w:rPr>
          <w:rFonts w:cs="Arial"/>
          <w:szCs w:val="24"/>
        </w:rPr>
        <w:t xml:space="preserve">igilância </w:t>
      </w:r>
      <w:r>
        <w:rPr>
          <w:rFonts w:cs="Arial"/>
          <w:szCs w:val="24"/>
        </w:rPr>
        <w:t>s</w:t>
      </w:r>
      <w:r w:rsidRPr="00957637">
        <w:rPr>
          <w:rFonts w:cs="Arial"/>
          <w:szCs w:val="24"/>
        </w:rPr>
        <w:t>anitária (↑).</w:t>
      </w:r>
    </w:p>
    <w:p w14:paraId="522A33CA"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3811A40D"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as áreas internas e externas em boas condições físicas e estruturais, de modo a permitir a higiene e a não oferecer risco ao usuário e aos funcionários (</w:t>
      </w:r>
      <w:r w:rsidRPr="00957637">
        <w:rPr>
          <w:rFonts w:cs="Arial"/>
        </w:rPr>
        <w:t>↑</w:t>
      </w:r>
      <w:r w:rsidRPr="00957637">
        <w:t>).</w:t>
      </w:r>
    </w:p>
    <w:p w14:paraId="17CF4E2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superfícies internas (piso, paredes e teto) lisas e impermeáveis, das instalações, em perfeitas condições, resistentes aos agentes sanitizantes e facilmente laváveis (</w:t>
      </w:r>
      <w:r w:rsidRPr="00957637">
        <w:rPr>
          <w:rFonts w:cs="Arial"/>
        </w:rPr>
        <w:t>↑</w:t>
      </w:r>
      <w:r w:rsidRPr="00957637">
        <w:t>).</w:t>
      </w:r>
    </w:p>
    <w:p w14:paraId="06F525CD"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manter os ambientes em boas condições de higiene e protegidos contra a entrada de insetos, roedores ou outros animais (</w:t>
      </w:r>
      <w:r w:rsidRPr="00957637">
        <w:rPr>
          <w:rFonts w:cs="Arial"/>
        </w:rPr>
        <w:t>↑</w:t>
      </w:r>
      <w:r w:rsidRPr="00957637">
        <w:t>).</w:t>
      </w:r>
    </w:p>
    <w:p w14:paraId="05B7ECD6"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boas condições de ventilação e iluminação, compatíveis com as atividades desenvolvidas em cada ambiente (</w:t>
      </w:r>
      <w:r w:rsidRPr="00957637">
        <w:rPr>
          <w:rFonts w:cs="Arial"/>
        </w:rPr>
        <w:t>↑</w:t>
      </w:r>
      <w:r w:rsidRPr="00957637">
        <w:t>).</w:t>
      </w:r>
    </w:p>
    <w:p w14:paraId="7C058C87"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lastRenderedPageBreak/>
        <w:t>Inexistência de equipamentos de combate a incêndio em quantidade suficiente, conforme legislação específica (</w:t>
      </w:r>
      <w:r w:rsidRPr="00957637">
        <w:rPr>
          <w:rFonts w:cs="Arial"/>
        </w:rPr>
        <w:t>↑</w:t>
      </w:r>
      <w:r w:rsidRPr="00957637">
        <w:t>).</w:t>
      </w:r>
    </w:p>
    <w:p w14:paraId="7BED1F7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Possuir materiais de limpeza e germicidas não regularizados junto à Anvisa e armazenados em área ou local não especificamente designado e identificado (</w:t>
      </w:r>
      <w:r w:rsidRPr="00957637">
        <w:rPr>
          <w:rFonts w:cs="Arial"/>
        </w:rPr>
        <w:t>↑</w:t>
      </w:r>
      <w:r w:rsidRPr="00957637">
        <w:t>).</w:t>
      </w:r>
    </w:p>
    <w:p w14:paraId="52DDCF68"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ser abastecido com água potável (</w:t>
      </w:r>
      <w:r w:rsidRPr="00957637">
        <w:rPr>
          <w:rFonts w:cs="Arial"/>
        </w:rPr>
        <w:t>↑</w:t>
      </w:r>
      <w:r w:rsidRPr="00957637">
        <w:t>).</w:t>
      </w:r>
    </w:p>
    <w:p w14:paraId="226AB04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manter a caixa d’água devidamente protegida para evitar a entrada de animais de qualquer porte, sujidades ou quaisquer outros contaminantes (</w:t>
      </w:r>
      <w:r w:rsidRPr="00957637">
        <w:rPr>
          <w:rFonts w:cs="Arial"/>
        </w:rPr>
        <w:t>↑</w:t>
      </w:r>
      <w:r w:rsidRPr="00957637">
        <w:t>).</w:t>
      </w:r>
    </w:p>
    <w:p w14:paraId="6B4DE6D0" w14:textId="77777777" w:rsidR="008D766D" w:rsidRPr="00957637" w:rsidRDefault="008D766D" w:rsidP="008D766D">
      <w:pPr>
        <w:tabs>
          <w:tab w:val="left" w:pos="567"/>
        </w:tabs>
        <w:spacing w:before="120"/>
        <w:rPr>
          <w:rFonts w:cs="Arial"/>
          <w:b/>
          <w:szCs w:val="24"/>
          <w:u w:val="single"/>
        </w:rPr>
      </w:pPr>
      <w:bookmarkStart w:id="0" w:name="_GoBack"/>
      <w:bookmarkEnd w:id="0"/>
      <w:r w:rsidRPr="00957637">
        <w:rPr>
          <w:rFonts w:cs="Arial"/>
          <w:b/>
          <w:szCs w:val="24"/>
          <w:u w:val="single"/>
        </w:rPr>
        <w:t>Não Conformidades Menores:</w:t>
      </w:r>
    </w:p>
    <w:p w14:paraId="269CA5B0"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no sanitário pia com água corrente, toalha de uso individual e descartável, sabonete líquido, lixeira com pedal e tampa (</w:t>
      </w:r>
      <w:r w:rsidRPr="00957637">
        <w:rPr>
          <w:rFonts w:cs="Arial"/>
        </w:rPr>
        <w:t>↑</w:t>
      </w:r>
      <w:r w:rsidRPr="00957637">
        <w:t>).</w:t>
      </w:r>
    </w:p>
    <w:p w14:paraId="628D089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procedimentos escrito para a limpeza da caixa d'água (</w:t>
      </w:r>
      <w:r w:rsidRPr="00957637">
        <w:rPr>
          <w:rFonts w:cs="Arial"/>
        </w:rPr>
        <w:t>↑</w:t>
      </w:r>
      <w:r w:rsidRPr="00957637">
        <w:t>).</w:t>
      </w:r>
    </w:p>
    <w:p w14:paraId="579020F0"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manter os registros que comprovem a realização da limpeza da caixa d’água (</w:t>
      </w:r>
      <w:r w:rsidRPr="00957637">
        <w:rPr>
          <w:rFonts w:cs="Arial"/>
        </w:rPr>
        <w:t>↑</w:t>
      </w:r>
      <w:r w:rsidRPr="00957637">
        <w:t>).</w:t>
      </w:r>
    </w:p>
    <w:p w14:paraId="4F4C6FFA"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manter o sanitário em boas condições de higiene e limpeza (</w:t>
      </w:r>
      <w:r w:rsidRPr="00957637">
        <w:rPr>
          <w:rFonts w:cs="Arial"/>
        </w:rPr>
        <w:t>↑</w:t>
      </w:r>
      <w:r w:rsidRPr="00957637">
        <w:t>).</w:t>
      </w:r>
    </w:p>
    <w:p w14:paraId="4270AD07"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materiais para primeiros-socorros, identificado e de fácil acesso no ambiente destinado a prestação de serviços farmacêuticos (</w:t>
      </w:r>
      <w:r w:rsidRPr="00957637">
        <w:rPr>
          <w:rFonts w:cs="Arial"/>
        </w:rPr>
        <w:t>↑</w:t>
      </w:r>
      <w:r w:rsidRPr="00957637">
        <w:t>).</w:t>
      </w:r>
    </w:p>
    <w:p w14:paraId="77AAABE6"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possuir local específico para guarda dos pertences dos funcionários no ambiente destinado às atividades administrativas (</w:t>
      </w:r>
      <w:r w:rsidRPr="00957637">
        <w:rPr>
          <w:rFonts w:cs="Arial"/>
        </w:rPr>
        <w:t>↑</w:t>
      </w:r>
      <w:r w:rsidRPr="00957637">
        <w:t>).</w:t>
      </w:r>
    </w:p>
    <w:p w14:paraId="699185E5" w14:textId="77777777" w:rsidR="008D766D" w:rsidRPr="0022599E" w:rsidRDefault="008D766D" w:rsidP="008D766D">
      <w:pPr>
        <w:numPr>
          <w:ilvl w:val="0"/>
          <w:numId w:val="2"/>
        </w:numPr>
        <w:tabs>
          <w:tab w:val="left" w:pos="0"/>
          <w:tab w:val="left" w:pos="567"/>
        </w:tabs>
        <w:spacing w:before="120"/>
        <w:ind w:left="567" w:hanging="218"/>
        <w:rPr>
          <w:rFonts w:cs="Arial"/>
          <w:szCs w:val="24"/>
        </w:rPr>
      </w:pPr>
      <w:r w:rsidRPr="00957637">
        <w:rPr>
          <w:rFonts w:cs="Arial"/>
          <w:szCs w:val="24"/>
        </w:rPr>
        <w:t>As instalações não estão em conformidade com projeto arquitetônico aprovado (↑).</w:t>
      </w:r>
    </w:p>
    <w:p w14:paraId="0ECA9F66"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ÁREAS FÍSICAS (DO AMBIENTE DESTINADO AOS SERVIÇOS FARMACÊUTICOS)</w:t>
      </w:r>
    </w:p>
    <w:p w14:paraId="0E51D38A" w14:textId="77777777" w:rsidR="008D766D" w:rsidRPr="00F579CC" w:rsidRDefault="008D766D" w:rsidP="008D766D">
      <w:pPr>
        <w:tabs>
          <w:tab w:val="left" w:pos="567"/>
        </w:tabs>
        <w:spacing w:before="120"/>
        <w:rPr>
          <w:rFonts w:cs="Arial"/>
          <w:b/>
          <w:szCs w:val="24"/>
          <w:u w:val="single"/>
        </w:rPr>
      </w:pPr>
      <w:r w:rsidRPr="00F579CC">
        <w:rPr>
          <w:rFonts w:cs="Arial"/>
          <w:b/>
          <w:szCs w:val="24"/>
          <w:u w:val="single"/>
        </w:rPr>
        <w:t>Não Conformidades Críticas:</w:t>
      </w:r>
    </w:p>
    <w:p w14:paraId="742D138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lastRenderedPageBreak/>
        <w:t xml:space="preserve">Não contar com ambiente específico destinado aos serviços farmacêuticos prestados. </w:t>
      </w:r>
    </w:p>
    <w:p w14:paraId="0053C777"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 xml:space="preserve">Inexistência no ambiente destinado aos serviços farmacêuticos de lavatório contendo água corrente, não dispondo de toalha de uso individual e descartável, sabonete líquido, gel bactericida e lixeira com pedal e tampa. </w:t>
      </w:r>
    </w:p>
    <w:p w14:paraId="2917DF66" w14:textId="05642532"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Acesso ao sanitário se dá através do ambiente destinado aos serviços farmacêuticos</w:t>
      </w:r>
      <w:r w:rsidR="00701A2C">
        <w:t xml:space="preserve"> </w:t>
      </w:r>
      <w:r w:rsidRPr="00957637">
        <w:t>(</w:t>
      </w:r>
      <w:r w:rsidRPr="00957637">
        <w:rPr>
          <w:rFonts w:cs="Arial"/>
        </w:rPr>
        <w:t>↓</w:t>
      </w:r>
      <w:r w:rsidRPr="00957637">
        <w:t>).</w:t>
      </w:r>
    </w:p>
    <w:p w14:paraId="13E20441" w14:textId="77777777" w:rsidR="008D766D" w:rsidRPr="00F579CC" w:rsidRDefault="008D766D" w:rsidP="008D766D">
      <w:pPr>
        <w:tabs>
          <w:tab w:val="left" w:pos="567"/>
        </w:tabs>
        <w:spacing w:before="120"/>
        <w:rPr>
          <w:rFonts w:cs="Arial"/>
          <w:b/>
          <w:szCs w:val="24"/>
          <w:u w:val="single"/>
        </w:rPr>
      </w:pPr>
      <w:r w:rsidRPr="00F579CC">
        <w:rPr>
          <w:rFonts w:cs="Arial"/>
          <w:b/>
          <w:szCs w:val="24"/>
          <w:u w:val="single"/>
        </w:rPr>
        <w:t>Não Conformidades Maiores:</w:t>
      </w:r>
    </w:p>
    <w:p w14:paraId="60C9FC5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Ambiente para prestação dos serviços que demandam atendimento individualizado não garante a privacidade e o conforto dos usuários.</w:t>
      </w:r>
    </w:p>
    <w:p w14:paraId="3FE18CF0"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Ambiente não mantido em condições adequadas de limpeza antes de todos os procedimentos realizados (</w:t>
      </w:r>
      <w:r w:rsidRPr="00957637">
        <w:rPr>
          <w:rFonts w:cs="Arial"/>
        </w:rPr>
        <w:t>↑</w:t>
      </w:r>
      <w:r w:rsidRPr="00957637">
        <w:t>).</w:t>
      </w:r>
    </w:p>
    <w:p w14:paraId="4AE8A10A" w14:textId="77777777" w:rsidR="008D766D" w:rsidRPr="00F579CC" w:rsidRDefault="008D766D" w:rsidP="008D766D">
      <w:pPr>
        <w:tabs>
          <w:tab w:val="left" w:pos="567"/>
        </w:tabs>
        <w:spacing w:before="120"/>
        <w:rPr>
          <w:rFonts w:cs="Arial"/>
          <w:b/>
          <w:szCs w:val="24"/>
          <w:u w:val="single"/>
        </w:rPr>
      </w:pPr>
      <w:r w:rsidRPr="00F579CC">
        <w:rPr>
          <w:rFonts w:cs="Arial"/>
          <w:b/>
          <w:szCs w:val="24"/>
          <w:u w:val="single"/>
        </w:rPr>
        <w:t>Não Conformidades Menores:</w:t>
      </w:r>
    </w:p>
    <w:p w14:paraId="5976CBE8"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Ausência de</w:t>
      </w:r>
      <w:r w:rsidRPr="00957637">
        <w:t xml:space="preserve"> conjunto de materiais para primeiros-socorros identificado e de fácil acesso nesse ambiente.</w:t>
      </w:r>
    </w:p>
    <w:p w14:paraId="3D7963DD"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Ausência de procedimento prevendo a limpeza do ambiente diariamente no início e ao término do horário, com a manutenção dos respectivos registros.</w:t>
      </w:r>
    </w:p>
    <w:p w14:paraId="74F8F44B" w14:textId="77777777" w:rsidR="008D766D" w:rsidRPr="00957637" w:rsidRDefault="008D766D" w:rsidP="008D766D">
      <w:pPr>
        <w:tabs>
          <w:tab w:val="left" w:pos="567"/>
        </w:tabs>
        <w:spacing w:before="120"/>
        <w:rPr>
          <w:rFonts w:cs="Arial"/>
          <w:b/>
          <w:szCs w:val="24"/>
        </w:rPr>
      </w:pPr>
    </w:p>
    <w:p w14:paraId="0DC0C760"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PESSOAL (RESPONSABILIDADES E ATRIBUIÇÕES)</w:t>
      </w:r>
    </w:p>
    <w:p w14:paraId="37AD7788"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14CF6517"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Delegação pelo farmacêutico responsável técnico a outros profissionais de atribuições consideradas indelegáveis pela legislação.</w:t>
      </w:r>
    </w:p>
    <w:p w14:paraId="7365DE2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Prestação de serviços farmacêuticos por profissional não capacitado.</w:t>
      </w:r>
    </w:p>
    <w:p w14:paraId="26092E6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lastRenderedPageBreak/>
        <w:t>Técnicos auxiliares desenvolvendo atividades sem a supervisão do farmacêutico responsável técnico ou do farmacêutico substituto.</w:t>
      </w:r>
    </w:p>
    <w:p w14:paraId="49450466"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77C689A1"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Delegação pelo farmacêutico responsável técnico a outro farmacêutico das atribuições relacionadas à supervisão e responsabilidade pela assistência técnica do estabelecimento.</w:t>
      </w:r>
    </w:p>
    <w:p w14:paraId="169AD7C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Não disponibilização de equipamentos de proteção individual (EPIs) aos funcionários envolvidos na prestação de serviços farmacêuticos.</w:t>
      </w:r>
    </w:p>
    <w:p w14:paraId="4D53E11A"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 xml:space="preserve">Descumprimento das atribuições estabelecidas em legislação pelo responsável legal. </w:t>
      </w:r>
    </w:p>
    <w:p w14:paraId="25EF820E"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Funcionários com uniformes sujos e em más condições de uso.</w:t>
      </w:r>
    </w:p>
    <w:p w14:paraId="705D243B"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4043E0C6"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Farmacêutico não uniformizado ou não identificado de forma a distinguí-lo dos demais funcionários.</w:t>
      </w:r>
    </w:p>
    <w:p w14:paraId="0712D0C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t>Funcionários não identificados.</w:t>
      </w:r>
    </w:p>
    <w:p w14:paraId="77E0AC72" w14:textId="77777777" w:rsidR="008D766D" w:rsidRPr="00957637" w:rsidRDefault="008D766D" w:rsidP="008D766D">
      <w:pPr>
        <w:pStyle w:val="PargrafodaLista"/>
        <w:ind w:left="0"/>
        <w:rPr>
          <w:rFonts w:cs="Arial"/>
          <w:b/>
          <w:szCs w:val="24"/>
        </w:rPr>
      </w:pPr>
    </w:p>
    <w:p w14:paraId="0144942B"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PESSOAL (CAPACITAÇÃO DOS FUNCIONÁRIOS)</w:t>
      </w:r>
    </w:p>
    <w:p w14:paraId="3EF4E7C0"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546B7815"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Prestação de serviços farmacêuticos executada por funcionários sem registros de treinamentos.</w:t>
      </w:r>
    </w:p>
    <w:p w14:paraId="39EA9FEF"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procedimentos/ programa de treinamento (↓).</w:t>
      </w:r>
    </w:p>
    <w:p w14:paraId="790679A6"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registros de treinamentos de forma contínua e inicial com os funcionários.</w:t>
      </w:r>
    </w:p>
    <w:p w14:paraId="0875CFBE"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lastRenderedPageBreak/>
        <w:t>Não Conformidades Menores:</w:t>
      </w:r>
    </w:p>
    <w:p w14:paraId="2AAF580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Funcionários sem uniformes.</w:t>
      </w:r>
    </w:p>
    <w:p w14:paraId="23D0101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Farmacêutico sem identificação que o diferencie dos demais funcionários.</w:t>
      </w:r>
    </w:p>
    <w:p w14:paraId="0006AB50"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registros da efetividade dos treinamentos realizados.</w:t>
      </w:r>
    </w:p>
    <w:p w14:paraId="1AE6C4D3" w14:textId="77777777" w:rsidR="008D766D" w:rsidRPr="00957637" w:rsidRDefault="008D766D" w:rsidP="008D766D">
      <w:pPr>
        <w:pStyle w:val="PargrafodaLista"/>
        <w:ind w:left="0"/>
        <w:rPr>
          <w:rFonts w:cs="Arial"/>
          <w:b/>
          <w:szCs w:val="24"/>
        </w:rPr>
      </w:pPr>
    </w:p>
    <w:p w14:paraId="2219A54D"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COMERCIALIZAÇÃO E DISPENSAÇÃO DE PRODUTOS (AQUISIÇÃO E RECEBIMENTO)</w:t>
      </w:r>
    </w:p>
    <w:p w14:paraId="4CE7497F"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5FFB74C3"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Aquisição de medicamentos sem registro ou notificação na Anvisa.</w:t>
      </w:r>
    </w:p>
    <w:p w14:paraId="4CBB3EB2"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Aquisição de medicamentos e outros produtos de empresas não licenciadas ou não autorizadas.</w:t>
      </w:r>
    </w:p>
    <w:p w14:paraId="4661150B" w14:textId="77777777" w:rsidR="008D766D" w:rsidRPr="00957637" w:rsidRDefault="008D766D" w:rsidP="008D766D">
      <w:pPr>
        <w:numPr>
          <w:ilvl w:val="0"/>
          <w:numId w:val="2"/>
        </w:numPr>
        <w:tabs>
          <w:tab w:val="left" w:pos="0"/>
          <w:tab w:val="left" w:pos="567"/>
        </w:tabs>
        <w:spacing w:before="120"/>
        <w:jc w:val="left"/>
        <w:rPr>
          <w:rFonts w:cs="Arial"/>
          <w:bCs/>
          <w:color w:val="000000"/>
          <w:szCs w:val="24"/>
        </w:rPr>
      </w:pPr>
      <w:r w:rsidRPr="00957637">
        <w:rPr>
          <w:rFonts w:cs="Arial"/>
          <w:bCs/>
          <w:color w:val="000000"/>
          <w:szCs w:val="24"/>
        </w:rPr>
        <w:t xml:space="preserve">Inexistência de </w:t>
      </w:r>
      <w:r w:rsidR="00F579CC">
        <w:rPr>
          <w:rFonts w:cs="Arial"/>
          <w:bCs/>
          <w:color w:val="000000"/>
          <w:szCs w:val="24"/>
        </w:rPr>
        <w:t>n</w:t>
      </w:r>
      <w:r w:rsidRPr="00957637">
        <w:rPr>
          <w:rFonts w:cs="Arial"/>
          <w:bCs/>
          <w:color w:val="000000"/>
          <w:szCs w:val="24"/>
        </w:rPr>
        <w:t xml:space="preserve">ota </w:t>
      </w:r>
      <w:r w:rsidR="00F579CC">
        <w:rPr>
          <w:rFonts w:cs="Arial"/>
          <w:bCs/>
          <w:color w:val="000000"/>
          <w:szCs w:val="24"/>
        </w:rPr>
        <w:t>f</w:t>
      </w:r>
      <w:r w:rsidRPr="00957637">
        <w:rPr>
          <w:rFonts w:cs="Arial"/>
          <w:bCs/>
          <w:color w:val="000000"/>
          <w:szCs w:val="24"/>
        </w:rPr>
        <w:t>iscal dos produtos adquiridos.</w:t>
      </w:r>
    </w:p>
    <w:p w14:paraId="157133CB"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Não estabelecer, documentar e implementar critérios para garantir a origem e qualidade dos produtos adquiridos.</w:t>
      </w:r>
    </w:p>
    <w:p w14:paraId="32DCC2B2"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5A25F93C"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Recebimento de produtos em área inadequada, por exemplo, alocados diretamente no piso ou em local de circulação de pessoal.</w:t>
      </w:r>
    </w:p>
    <w:p w14:paraId="7DD75314"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POP de dispensação de produtos.</w:t>
      </w:r>
    </w:p>
    <w:p w14:paraId="489B0FC4" w14:textId="77777777" w:rsidR="008D766D" w:rsidRPr="00957637" w:rsidRDefault="008D766D" w:rsidP="008D766D">
      <w:pPr>
        <w:numPr>
          <w:ilvl w:val="0"/>
          <w:numId w:val="2"/>
        </w:numPr>
        <w:tabs>
          <w:tab w:val="left" w:pos="0"/>
          <w:tab w:val="left" w:pos="567"/>
        </w:tabs>
        <w:spacing w:before="120"/>
        <w:ind w:left="567" w:hanging="283"/>
        <w:rPr>
          <w:rFonts w:cs="Arial"/>
          <w:szCs w:val="24"/>
        </w:rPr>
      </w:pPr>
      <w:r w:rsidRPr="00957637">
        <w:rPr>
          <w:rFonts w:cs="Arial"/>
          <w:szCs w:val="24"/>
        </w:rPr>
        <w:t>Inexistência de POP com critérios e documentação sanitária dos fornecedores, de forma a garantir aquisição de fornecedores legalmente habilitados.</w:t>
      </w:r>
    </w:p>
    <w:p w14:paraId="7FB8A273" w14:textId="77777777" w:rsidR="008D766D" w:rsidRPr="00957637" w:rsidRDefault="008D766D" w:rsidP="008D766D">
      <w:pPr>
        <w:pStyle w:val="PargrafodaLista"/>
        <w:ind w:left="0"/>
        <w:rPr>
          <w:rFonts w:cs="Arial"/>
          <w:b/>
          <w:szCs w:val="24"/>
        </w:rPr>
      </w:pPr>
    </w:p>
    <w:p w14:paraId="693D0438"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COMERCIALIZAÇÃO (CONDIÇÕES DE ARMAZENAMENTO)</w:t>
      </w:r>
    </w:p>
    <w:p w14:paraId="64D7CEA7"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461FD59A"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lastRenderedPageBreak/>
        <w:t>Comercialização de produtos vencidos, violados, alterados, adulterados ou falsificados.</w:t>
      </w:r>
    </w:p>
    <w:p w14:paraId="4E52553A"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 xml:space="preserve">Comercialização de medicamentos sujeitos a controle especial solicitados por meio remoto, em desacordo com o previsto na RDC 812/ 2023 </w:t>
      </w:r>
      <w:r w:rsidRPr="00957637">
        <w:rPr>
          <w:rStyle w:val="ui-provider"/>
        </w:rPr>
        <w:t>ou outra que substituí-la</w:t>
      </w:r>
      <w:r w:rsidRPr="00957637">
        <w:rPr>
          <w:rFonts w:cs="Arial"/>
          <w:szCs w:val="24"/>
        </w:rPr>
        <w:t>.</w:t>
      </w:r>
    </w:p>
    <w:p w14:paraId="479C7B92"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593D604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Ambiente sujo, com incidência de luz direta sobre os produtos e/ou umidade e temperatura fora das especificações do fabricante (↑).</w:t>
      </w:r>
    </w:p>
    <w:p w14:paraId="22A3BEF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apresentar registro de controle de temperatura ambiente e dos refrigeradores.</w:t>
      </w:r>
    </w:p>
    <w:p w14:paraId="7EE1D98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possuir armário, ou outro dispositivo com chave para guarda de medicamentos sujeitos a controle especial (↑).</w:t>
      </w:r>
    </w:p>
    <w:p w14:paraId="3962FB0B"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A chave do armário para medicamentos sujeitos a controle especial não fica sob a guarda do farmacêutico.</w:t>
      </w:r>
    </w:p>
    <w:p w14:paraId="2545972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encaminhar para o descarte correto, conforme Gerenciamento de Resíduos de Serviços de Saúde, os produtos vencidos, violados, alterados, adulterados ou falsificados.</w:t>
      </w:r>
    </w:p>
    <w:p w14:paraId="79C4C24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Manter no estabelecimento estoque de medicamentos/ produtos em ambiente ou áreas diversas da edificação contemplada em projeto arquitetônico (↑).</w:t>
      </w:r>
    </w:p>
    <w:p w14:paraId="0C5E1B74"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114FD5C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Armazenamento desordenado de produtos.</w:t>
      </w:r>
    </w:p>
    <w:p w14:paraId="3EC92CAD"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Ambiente subdimensionado para o armazenamento das diversas categorias de produtos (↑).</w:t>
      </w:r>
    </w:p>
    <w:p w14:paraId="46C3CC9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 xml:space="preserve">Não apresentar Procedimento Operacional Padrão (POP) para verificação de temperatura e umidade especificando horário em que deve ser realizada a </w:t>
      </w:r>
      <w:r w:rsidRPr="00957637">
        <w:rPr>
          <w:rFonts w:cs="Arial"/>
          <w:szCs w:val="24"/>
        </w:rPr>
        <w:lastRenderedPageBreak/>
        <w:t>verificação, limites de aceitação para os valores encontrados e medidas a serem tomadas quando forem verificadas condições inadequadas para o armazenamento.</w:t>
      </w:r>
    </w:p>
    <w:p w14:paraId="608C1A8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Produtos armazenados diretamente no chão ou encostados à parede e teto.</w:t>
      </w:r>
    </w:p>
    <w:p w14:paraId="79E2F2A0"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área segregada e identificada para guarda de produtos vencidos ou alterados.</w:t>
      </w:r>
    </w:p>
    <w:p w14:paraId="1282E3CE"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POP para armazenamento de produtos inflamáveis, corrosivos ou explosivos, na existência destes produtos em estoque.</w:t>
      </w:r>
    </w:p>
    <w:p w14:paraId="426A1D18" w14:textId="77777777" w:rsidR="008D766D" w:rsidRPr="00957637" w:rsidRDefault="008D766D" w:rsidP="008D766D">
      <w:pPr>
        <w:pStyle w:val="PargrafodaLista"/>
        <w:ind w:left="0"/>
        <w:rPr>
          <w:rFonts w:cs="Arial"/>
          <w:b/>
          <w:szCs w:val="24"/>
        </w:rPr>
      </w:pPr>
    </w:p>
    <w:p w14:paraId="7BEAF197"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COMERCIALIZAÇÃO (ORGANIZAÇÃO E EXPOSIÇÃO DOS PRODUTOS)</w:t>
      </w:r>
    </w:p>
    <w:p w14:paraId="7F431FD1"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4D289FC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Presença de medicamentos sob prescrição médica armazenados em área de circulação comum, diretamente ao alcance dos usuários.</w:t>
      </w:r>
    </w:p>
    <w:p w14:paraId="2A86125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Exposição de medicamentos/ produtos à comercialização com prazo de validade expirado.</w:t>
      </w:r>
    </w:p>
    <w:p w14:paraId="747B9D20"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4547D3EE"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na área destinada aos medicamentos de cartaz, em local visível ao público, contendo a seguinte orientação, de forma legível e ostensiva que permita a fácil leitura a partir da área de circulação comum: “MEDICAMENTOS PODEM CAUSAR EFEITOS INDESEJADOS. EVITE A AUTOMEDICAÇÃO: INFORME-SE COM O FARMACÊUTICO”.</w:t>
      </w:r>
    </w:p>
    <w:p w14:paraId="6F9A1C50"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Exposição de artigos de conveniência nos mesmos locais dos medicamentos.</w:t>
      </w:r>
    </w:p>
    <w:p w14:paraId="063D1483" w14:textId="77777777" w:rsidR="008D766D" w:rsidRPr="00957637" w:rsidRDefault="008D766D" w:rsidP="008D766D">
      <w:pPr>
        <w:pStyle w:val="PargrafodaLista"/>
        <w:ind w:left="0"/>
        <w:rPr>
          <w:rFonts w:cs="Arial"/>
          <w:b/>
          <w:szCs w:val="24"/>
        </w:rPr>
      </w:pPr>
    </w:p>
    <w:p w14:paraId="7048AB58"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COMERCIALIZAÇÃO (DISPENSAÇÃO DE MEDICAMENTOS)</w:t>
      </w:r>
    </w:p>
    <w:p w14:paraId="2EE2534B"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lastRenderedPageBreak/>
        <w:t>Não Conformidades Críticas:</w:t>
      </w:r>
    </w:p>
    <w:p w14:paraId="3BA235B2"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Presença de medicamentos sob prescrição médica armazenados em área de circulação comum, diretamente ao alcance dos usuários.</w:t>
      </w:r>
    </w:p>
    <w:p w14:paraId="58F2B226"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Realização de captação e intermediação de receita de medicamentos manipulados.</w:t>
      </w:r>
    </w:p>
    <w:p w14:paraId="71A9366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Dispensação/ distribuição de amostras grátis.</w:t>
      </w:r>
    </w:p>
    <w:p w14:paraId="03988B53"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Inexistência de retenção de receita de medicamentos antimicrobianos.</w:t>
      </w:r>
    </w:p>
    <w:p w14:paraId="0E259F56"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Inexistência de escrituração de medicamentos antimicrobianos.</w:t>
      </w:r>
    </w:p>
    <w:p w14:paraId="545E51D9"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4176E718"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Realização de dispensação de medicamentos sob prescrição sem apresentação de receita (↑).</w:t>
      </w:r>
    </w:p>
    <w:p w14:paraId="098C67D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Fracionamento de medicamentos a partir de embalagens não destinadas a este fim, tanto para dispensação como para prestação de serviços farmacêuticos, incluindo embalagem hospitalar. (↑).</w:t>
      </w:r>
    </w:p>
    <w:p w14:paraId="6A77D6E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 xml:space="preserve">Comercialização por atacado de medicamentos/ produtos </w:t>
      </w:r>
      <w:r w:rsidRPr="00957637">
        <w:rPr>
          <w:rFonts w:cs="Arial"/>
          <w:bCs/>
          <w:color w:val="000000"/>
          <w:szCs w:val="24"/>
        </w:rPr>
        <w:t>(↑).</w:t>
      </w:r>
    </w:p>
    <w:p w14:paraId="127C402D"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43B6B32C" w14:textId="77777777" w:rsidR="008D766D" w:rsidRPr="00957637" w:rsidRDefault="008D766D" w:rsidP="008D766D">
      <w:pPr>
        <w:pStyle w:val="PargrafodaLista"/>
        <w:numPr>
          <w:ilvl w:val="0"/>
          <w:numId w:val="3"/>
        </w:numPr>
        <w:spacing w:before="120" w:after="0" w:line="360" w:lineRule="auto"/>
        <w:ind w:left="714" w:hanging="357"/>
        <w:jc w:val="both"/>
        <w:rPr>
          <w:rFonts w:ascii="Arial" w:hAnsi="Arial" w:cs="Arial"/>
          <w:sz w:val="24"/>
          <w:szCs w:val="24"/>
        </w:rPr>
      </w:pPr>
      <w:r w:rsidRPr="00957637">
        <w:rPr>
          <w:rFonts w:ascii="Arial" w:hAnsi="Arial" w:cs="Arial"/>
          <w:sz w:val="24"/>
          <w:szCs w:val="24"/>
        </w:rPr>
        <w:t>Não disponibilização aos usuários, em local de fácil visualização e de modo a permitir a imediata identificação, de lista atualizada de medicamentos genéricos comercializados no país.</w:t>
      </w:r>
    </w:p>
    <w:p w14:paraId="53047AFF" w14:textId="77777777" w:rsidR="008D766D" w:rsidRPr="00957637" w:rsidRDefault="008D766D" w:rsidP="008D766D">
      <w:pPr>
        <w:pStyle w:val="PargrafodaLista"/>
        <w:numPr>
          <w:ilvl w:val="0"/>
          <w:numId w:val="3"/>
        </w:numPr>
        <w:spacing w:before="120" w:after="0" w:line="360" w:lineRule="auto"/>
        <w:ind w:left="714" w:hanging="357"/>
        <w:jc w:val="both"/>
        <w:rPr>
          <w:rFonts w:ascii="Arial" w:hAnsi="Arial" w:cs="Arial"/>
          <w:sz w:val="24"/>
          <w:szCs w:val="24"/>
        </w:rPr>
      </w:pPr>
      <w:r w:rsidRPr="00957637">
        <w:rPr>
          <w:rFonts w:ascii="Arial" w:hAnsi="Arial" w:cs="Arial"/>
          <w:sz w:val="24"/>
          <w:szCs w:val="24"/>
        </w:rPr>
        <w:t>Ausência de POP contemplando informações ao usuário acerca do uso correto e seguro</w:t>
      </w:r>
      <w:r w:rsidR="00EB2798">
        <w:rPr>
          <w:rFonts w:ascii="Arial" w:hAnsi="Arial" w:cs="Arial"/>
          <w:sz w:val="24"/>
          <w:szCs w:val="24"/>
        </w:rPr>
        <w:t xml:space="preserve"> de medicamentos</w:t>
      </w:r>
      <w:r w:rsidRPr="00957637">
        <w:rPr>
          <w:rFonts w:ascii="Arial" w:hAnsi="Arial" w:cs="Arial"/>
          <w:sz w:val="24"/>
          <w:szCs w:val="24"/>
        </w:rPr>
        <w:t>, assim como orientações sobre as condições ideais de armazenamento.</w:t>
      </w:r>
    </w:p>
    <w:p w14:paraId="6DEF6492" w14:textId="77777777" w:rsidR="008D766D" w:rsidRPr="00957637" w:rsidRDefault="008D766D" w:rsidP="008D766D">
      <w:pPr>
        <w:pStyle w:val="PargrafodaLista"/>
        <w:ind w:left="0"/>
        <w:rPr>
          <w:rFonts w:cs="Arial"/>
          <w:b/>
          <w:szCs w:val="24"/>
        </w:rPr>
      </w:pPr>
    </w:p>
    <w:p w14:paraId="13F23060"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lastRenderedPageBreak/>
        <w:t>COMERCIALIZAÇÃO (SOLICITAÇÃO REMOTA PARA DISPENSAÇÃO DE MEDICAMENTOS)</w:t>
      </w:r>
    </w:p>
    <w:p w14:paraId="4D3685C0"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3FB5FD6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Transporte de medicamento sem assegurar as condições que preservem a integridade e qualidade do produto, respeitando as restrições de temperatura e umidade descritas na embalagem do medicamento pelo detentor do registro, além de atender as Boas Práticas de Transporte previstas na legislação específica.</w:t>
      </w:r>
    </w:p>
    <w:p w14:paraId="43C72C6A" w14:textId="77777777" w:rsidR="008D766D" w:rsidRPr="00957637" w:rsidRDefault="008D766D" w:rsidP="008D766D">
      <w:pPr>
        <w:numPr>
          <w:ilvl w:val="0"/>
          <w:numId w:val="3"/>
        </w:numPr>
        <w:tabs>
          <w:tab w:val="left" w:pos="0"/>
          <w:tab w:val="left" w:pos="709"/>
        </w:tabs>
        <w:spacing w:before="120"/>
        <w:rPr>
          <w:rFonts w:cs="Arial"/>
          <w:b/>
          <w:bCs/>
          <w:color w:val="000000"/>
          <w:szCs w:val="24"/>
          <w:u w:val="single"/>
        </w:rPr>
      </w:pPr>
      <w:r w:rsidRPr="00957637">
        <w:rPr>
          <w:rFonts w:cs="Arial"/>
          <w:szCs w:val="24"/>
        </w:rPr>
        <w:t>Transporte de medicamento juntamente com outros produtos ou substâncias que podem afetar suas características de qualidade, segurança e eficácia.</w:t>
      </w:r>
    </w:p>
    <w:p w14:paraId="4AFFA9BC" w14:textId="77777777" w:rsidR="008D766D" w:rsidRPr="00957637" w:rsidRDefault="008D766D" w:rsidP="008D766D">
      <w:pPr>
        <w:numPr>
          <w:ilvl w:val="0"/>
          <w:numId w:val="3"/>
        </w:numPr>
        <w:tabs>
          <w:tab w:val="left" w:pos="0"/>
          <w:tab w:val="left" w:pos="709"/>
        </w:tabs>
        <w:spacing w:before="120"/>
        <w:rPr>
          <w:rFonts w:cs="Arial"/>
          <w:b/>
          <w:bCs/>
          <w:color w:val="000000"/>
          <w:szCs w:val="24"/>
          <w:u w:val="single"/>
        </w:rPr>
      </w:pPr>
      <w:r w:rsidRPr="00957637">
        <w:rPr>
          <w:rFonts w:cs="Arial"/>
          <w:szCs w:val="24"/>
        </w:rPr>
        <w:t>Terceirização de serviço de transporte por empresa não autorizada/ licenciada.</w:t>
      </w:r>
    </w:p>
    <w:p w14:paraId="4D1F7939" w14:textId="77777777" w:rsidR="008D766D" w:rsidRPr="00957637" w:rsidRDefault="008D766D" w:rsidP="008D766D">
      <w:pPr>
        <w:tabs>
          <w:tab w:val="left" w:pos="567"/>
        </w:tabs>
        <w:spacing w:before="120"/>
        <w:rPr>
          <w:rFonts w:cs="Arial"/>
          <w:b/>
          <w:szCs w:val="24"/>
          <w:u w:val="single"/>
        </w:rPr>
      </w:pPr>
    </w:p>
    <w:p w14:paraId="4B7A5713"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COMERCIALIZAÇÃO (DISPENSAÇÃO DE OUTROS PRODUTOS)</w:t>
      </w:r>
    </w:p>
    <w:p w14:paraId="2F6B45CD"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41619167" w14:textId="77777777" w:rsidR="008D766D" w:rsidRPr="00957637" w:rsidRDefault="008D766D" w:rsidP="008D766D">
      <w:pPr>
        <w:numPr>
          <w:ilvl w:val="0"/>
          <w:numId w:val="3"/>
        </w:numPr>
        <w:tabs>
          <w:tab w:val="left" w:pos="0"/>
        </w:tabs>
        <w:spacing w:before="120"/>
        <w:ind w:left="714" w:hanging="357"/>
        <w:rPr>
          <w:rFonts w:cs="Arial"/>
          <w:bCs/>
          <w:color w:val="000000"/>
          <w:szCs w:val="24"/>
        </w:rPr>
      </w:pPr>
      <w:r w:rsidRPr="00957637">
        <w:rPr>
          <w:rFonts w:cs="Arial"/>
          <w:bCs/>
          <w:color w:val="000000"/>
          <w:szCs w:val="24"/>
        </w:rPr>
        <w:t>Comercialização de produtos sem registro, cadastro ou notificação.</w:t>
      </w:r>
    </w:p>
    <w:p w14:paraId="571404A4"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3602FAD2" w14:textId="77777777" w:rsidR="008D766D" w:rsidRPr="00957637" w:rsidRDefault="008D766D" w:rsidP="008D766D">
      <w:pPr>
        <w:pStyle w:val="PargrafodaLista"/>
        <w:numPr>
          <w:ilvl w:val="0"/>
          <w:numId w:val="3"/>
        </w:numPr>
        <w:spacing w:before="120" w:after="0" w:line="360" w:lineRule="auto"/>
        <w:ind w:left="714" w:hanging="357"/>
        <w:rPr>
          <w:rFonts w:ascii="Arial" w:hAnsi="Arial" w:cs="Arial"/>
          <w:sz w:val="24"/>
          <w:szCs w:val="24"/>
        </w:rPr>
      </w:pPr>
      <w:r w:rsidRPr="00957637">
        <w:rPr>
          <w:rFonts w:ascii="Arial" w:hAnsi="Arial" w:cs="Arial"/>
          <w:sz w:val="24"/>
          <w:szCs w:val="24"/>
        </w:rPr>
        <w:t>Armazenamento de produtos de forma não separada dos medicamentos.</w:t>
      </w:r>
    </w:p>
    <w:p w14:paraId="2B5D0BB4" w14:textId="77777777" w:rsidR="008D766D" w:rsidRPr="00957637" w:rsidRDefault="008D766D" w:rsidP="008D766D">
      <w:pPr>
        <w:pStyle w:val="PargrafodaLista"/>
        <w:spacing w:before="120" w:after="0" w:line="360" w:lineRule="auto"/>
        <w:ind w:left="714"/>
        <w:rPr>
          <w:rFonts w:ascii="Arial" w:hAnsi="Arial" w:cs="Arial"/>
          <w:sz w:val="24"/>
          <w:szCs w:val="24"/>
        </w:rPr>
      </w:pPr>
    </w:p>
    <w:p w14:paraId="2B96C1D2"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MEDICAMENTOS SUJEITOS AO CONTROLE ESPECIAL DA PORTARIA 344/1998</w:t>
      </w:r>
    </w:p>
    <w:p w14:paraId="51966F6D"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133D9625"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Presença de medicamentos sob controle especial armazenados em área de circulação comum, diretamente ao alcance dos usuários.</w:t>
      </w:r>
    </w:p>
    <w:p w14:paraId="3CB5D25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lastRenderedPageBreak/>
        <w:t xml:space="preserve">Inexistência de escrituração adequada da movimentação dos medicamentos (compra, dispensação e transferência), no </w:t>
      </w:r>
      <w:bookmarkStart w:id="1" w:name="_Hlk168478600"/>
      <w:r w:rsidRPr="00957637">
        <w:rPr>
          <w:rFonts w:cs="Arial"/>
          <w:bCs/>
          <w:color w:val="000000"/>
          <w:szCs w:val="24"/>
        </w:rPr>
        <w:t>Sistema Nacional de Gerenciamento de Produtos Controlados (SNGPC</w:t>
      </w:r>
      <w:bookmarkEnd w:id="1"/>
      <w:r w:rsidRPr="00957637">
        <w:rPr>
          <w:rFonts w:cs="Arial"/>
          <w:bCs/>
          <w:color w:val="000000"/>
          <w:szCs w:val="24"/>
        </w:rPr>
        <w:t xml:space="preserve">) </w:t>
      </w:r>
      <w:r w:rsidRPr="00957637">
        <w:t>ou no livro/ sistema informatizado próprio do estabelecimento, e/ou em freqüência superior a sete dias</w:t>
      </w:r>
      <w:r w:rsidRPr="00957637">
        <w:rPr>
          <w:rFonts w:cs="Arial"/>
          <w:bCs/>
          <w:color w:val="000000"/>
          <w:szCs w:val="24"/>
        </w:rPr>
        <w:t>.</w:t>
      </w:r>
    </w:p>
    <w:p w14:paraId="2653700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Medicamentos sob controle especial armazenados sem a devida restrição de acesso ao farmacêutico responsável técnico.</w:t>
      </w:r>
    </w:p>
    <w:p w14:paraId="69FEAD1D"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 xml:space="preserve">Fechamento de inventário de medicamentos sob controle especial sem a devida justificativa e apreciação da </w:t>
      </w:r>
      <w:r w:rsidR="00BD43BA">
        <w:rPr>
          <w:rFonts w:cs="Arial"/>
          <w:bCs/>
          <w:color w:val="000000"/>
          <w:szCs w:val="24"/>
        </w:rPr>
        <w:t>v</w:t>
      </w:r>
      <w:r w:rsidRPr="00957637">
        <w:rPr>
          <w:rFonts w:cs="Arial"/>
          <w:bCs/>
          <w:color w:val="000000"/>
          <w:szCs w:val="24"/>
        </w:rPr>
        <w:t xml:space="preserve">igilância </w:t>
      </w:r>
      <w:r w:rsidR="00BD43BA">
        <w:rPr>
          <w:rFonts w:cs="Arial"/>
          <w:bCs/>
          <w:color w:val="000000"/>
          <w:szCs w:val="24"/>
        </w:rPr>
        <w:t>s</w:t>
      </w:r>
      <w:r w:rsidRPr="00957637">
        <w:rPr>
          <w:rFonts w:cs="Arial"/>
          <w:bCs/>
          <w:color w:val="000000"/>
          <w:szCs w:val="24"/>
        </w:rPr>
        <w:t>anitária.</w:t>
      </w:r>
    </w:p>
    <w:p w14:paraId="6A441E2E"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Dispensação de medicamentos sob controle especial sem a apresentação de receita ou notificação de receita.</w:t>
      </w:r>
    </w:p>
    <w:p w14:paraId="5246B316"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 xml:space="preserve">Escrituração dos medicamentos sob controle especial realizados por outros profissionais do estabelecimento que não o farmacêutico </w:t>
      </w:r>
      <w:r w:rsidR="00BD43BA">
        <w:rPr>
          <w:rFonts w:cs="Arial"/>
          <w:bCs/>
          <w:color w:val="000000"/>
          <w:szCs w:val="24"/>
        </w:rPr>
        <w:t>r</w:t>
      </w:r>
      <w:r w:rsidRPr="00957637">
        <w:rPr>
          <w:rFonts w:cs="Arial"/>
          <w:bCs/>
          <w:color w:val="000000"/>
          <w:szCs w:val="24"/>
        </w:rPr>
        <w:t xml:space="preserve">esponsável </w:t>
      </w:r>
      <w:r w:rsidR="00BD43BA">
        <w:rPr>
          <w:rFonts w:cs="Arial"/>
          <w:bCs/>
          <w:color w:val="000000"/>
          <w:szCs w:val="24"/>
        </w:rPr>
        <w:t>t</w:t>
      </w:r>
      <w:r w:rsidRPr="00957637">
        <w:rPr>
          <w:rFonts w:cs="Arial"/>
          <w:bCs/>
          <w:color w:val="000000"/>
          <w:szCs w:val="24"/>
        </w:rPr>
        <w:t>écnico ou substituto.</w:t>
      </w:r>
    </w:p>
    <w:p w14:paraId="7D512DCD"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 xml:space="preserve">Incompatibilidade entre o estoque físico e o escriturado no Sistema Nacional de Gerenciamento de Produtos Controlados (SNGPC) </w:t>
      </w:r>
      <w:r w:rsidRPr="00957637">
        <w:t>ou no livro/ sistema informatizado próprio do estabelecimento</w:t>
      </w:r>
      <w:r w:rsidRPr="00957637">
        <w:rPr>
          <w:rFonts w:cs="Arial"/>
          <w:bCs/>
          <w:color w:val="000000"/>
          <w:szCs w:val="24"/>
        </w:rPr>
        <w:t>.</w:t>
      </w:r>
    </w:p>
    <w:p w14:paraId="2E57175F"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5E2861C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Dispensação de medicamentos sob controle especial mediante a apresentação de receita ou notificação de receita com rasuras, com dados incorretos ou com falta de dados necessários (↑).</w:t>
      </w:r>
    </w:p>
    <w:p w14:paraId="4E3B764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Inexistência da atividade de dispensação de medicamentos sob controle especial na AFE.</w:t>
      </w:r>
    </w:p>
    <w:p w14:paraId="5A34F547"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3CB2982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lastRenderedPageBreak/>
        <w:t>Não apresentação dos balanços previstos na Portaria SVS/MS 344/1998 (</w:t>
      </w:r>
      <w:bookmarkStart w:id="2" w:name="_Hlk168479128"/>
      <w:r w:rsidRPr="00957637">
        <w:rPr>
          <w:rFonts w:cs="Arial"/>
          <w:bCs/>
          <w:color w:val="000000"/>
          <w:szCs w:val="24"/>
        </w:rPr>
        <w:t>BMPO</w:t>
      </w:r>
      <w:bookmarkEnd w:id="2"/>
      <w:r w:rsidRPr="00957637">
        <w:rPr>
          <w:rFonts w:cs="Arial"/>
          <w:bCs/>
          <w:color w:val="000000"/>
          <w:szCs w:val="24"/>
        </w:rPr>
        <w:t xml:space="preserve">, </w:t>
      </w:r>
      <w:bookmarkStart w:id="3" w:name="_Hlk168479145"/>
      <w:r w:rsidRPr="00957637">
        <w:rPr>
          <w:rFonts w:cs="Arial"/>
          <w:bCs/>
          <w:color w:val="000000"/>
          <w:szCs w:val="24"/>
        </w:rPr>
        <w:t>RMNRA</w:t>
      </w:r>
      <w:bookmarkEnd w:id="3"/>
      <w:r w:rsidRPr="00957637">
        <w:rPr>
          <w:rFonts w:cs="Arial"/>
          <w:bCs/>
          <w:color w:val="000000"/>
          <w:szCs w:val="24"/>
        </w:rPr>
        <w:t xml:space="preserve"> e </w:t>
      </w:r>
      <w:bookmarkStart w:id="4" w:name="_Hlk168479164"/>
      <w:r w:rsidRPr="00957637">
        <w:rPr>
          <w:rFonts w:cs="Arial"/>
          <w:bCs/>
          <w:color w:val="000000"/>
          <w:szCs w:val="24"/>
        </w:rPr>
        <w:t>RMNRB2</w:t>
      </w:r>
      <w:bookmarkEnd w:id="4"/>
      <w:r w:rsidRPr="00957637">
        <w:rPr>
          <w:rFonts w:cs="Arial"/>
          <w:bCs/>
          <w:color w:val="000000"/>
          <w:szCs w:val="24"/>
        </w:rPr>
        <w:t>).</w:t>
      </w:r>
    </w:p>
    <w:p w14:paraId="2A85126D" w14:textId="77777777" w:rsidR="008D766D" w:rsidRPr="00957637" w:rsidRDefault="008D766D" w:rsidP="008D766D">
      <w:pPr>
        <w:pStyle w:val="PargrafodaLista"/>
        <w:ind w:left="0"/>
        <w:rPr>
          <w:rFonts w:cs="Arial"/>
          <w:szCs w:val="24"/>
        </w:rPr>
      </w:pPr>
    </w:p>
    <w:p w14:paraId="4E20A0C9"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w:t>
      </w:r>
    </w:p>
    <w:p w14:paraId="54C519E8"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287FBFC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bCs/>
          <w:color w:val="000000"/>
          <w:szCs w:val="24"/>
        </w:rPr>
        <w:t>Utilização de qualquer dependência da farmácia ou drogaria como consultório ou outro fim diverso do licenciamento.</w:t>
      </w:r>
    </w:p>
    <w:p w14:paraId="47ED4814" w14:textId="77777777" w:rsidR="008D766D" w:rsidRPr="00957637" w:rsidRDefault="008D766D" w:rsidP="008D766D">
      <w:pPr>
        <w:numPr>
          <w:ilvl w:val="0"/>
          <w:numId w:val="3"/>
        </w:numPr>
        <w:tabs>
          <w:tab w:val="left" w:pos="0"/>
          <w:tab w:val="left" w:pos="709"/>
        </w:tabs>
        <w:spacing w:before="120"/>
        <w:rPr>
          <w:rFonts w:cs="Arial"/>
          <w:bCs/>
          <w:color w:val="000000"/>
          <w:szCs w:val="24"/>
        </w:rPr>
      </w:pPr>
      <w:r w:rsidRPr="00957637">
        <w:rPr>
          <w:rFonts w:cs="Arial"/>
          <w:bCs/>
          <w:color w:val="000000"/>
          <w:szCs w:val="24"/>
        </w:rPr>
        <w:t>Prestação de serviços farmacêuticos não indicados no licenciamento do estabelecimento.</w:t>
      </w:r>
    </w:p>
    <w:p w14:paraId="74F2FABC"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Realização de serviços farmacêuticos de EAC, aplicação de vacinas e outros medicamentos por profissional não devidamente habilitado.</w:t>
      </w:r>
    </w:p>
    <w:p w14:paraId="2889E57A"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Aplicação de vacinas não constantes no calendário oficial de vacinação sem a devida prescrição de profissional habilitado.</w:t>
      </w:r>
    </w:p>
    <w:p w14:paraId="4D353171"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0CB697C4" w14:textId="77777777" w:rsidR="008D766D" w:rsidRPr="00957637" w:rsidRDefault="008D766D" w:rsidP="008D766D">
      <w:pPr>
        <w:numPr>
          <w:ilvl w:val="0"/>
          <w:numId w:val="3"/>
        </w:numPr>
        <w:tabs>
          <w:tab w:val="left" w:pos="0"/>
          <w:tab w:val="left" w:pos="709"/>
        </w:tabs>
        <w:spacing w:before="120"/>
        <w:rPr>
          <w:rFonts w:cs="Arial"/>
          <w:bCs/>
          <w:color w:val="000000"/>
          <w:szCs w:val="24"/>
        </w:rPr>
      </w:pPr>
      <w:r w:rsidRPr="00957637">
        <w:rPr>
          <w:rFonts w:cs="Arial"/>
          <w:bCs/>
          <w:color w:val="000000"/>
          <w:szCs w:val="24"/>
        </w:rPr>
        <w:t>Inexistência de cartaz proibindo o reaproveitamento de seringas descartáveis (↑).</w:t>
      </w:r>
    </w:p>
    <w:p w14:paraId="53E8FA44"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Realização de demais serviços farmacêuticos por profissionais não habilitados e sem a supervisão do farmacêutico</w:t>
      </w:r>
      <w:r w:rsidRPr="00957637">
        <w:rPr>
          <w:rFonts w:cs="Arial"/>
          <w:bCs/>
          <w:color w:val="000000"/>
          <w:szCs w:val="24"/>
        </w:rPr>
        <w:t>.</w:t>
      </w:r>
    </w:p>
    <w:p w14:paraId="2BD5E828"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Disponibilização de serviço de vacinação em sala não prevista para esta finalidade em projeto arquitetônico aprovado.</w:t>
      </w:r>
    </w:p>
    <w:p w14:paraId="48381E1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 xml:space="preserve">Inexistência de procedimentos escritos sobre toda rotina estabelecida para realização de serviços farmacêuticos, </w:t>
      </w:r>
    </w:p>
    <w:p w14:paraId="2BE87211"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prevê em procedimento condutas a serem adotadas em caso de intercorrências relacionadas à vacinação.</w:t>
      </w:r>
    </w:p>
    <w:p w14:paraId="0F6CB1B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lastRenderedPageBreak/>
        <w:t>Inexistência de equipamento (refrigerador) específico regularizado na A</w:t>
      </w:r>
      <w:r w:rsidR="0048186E">
        <w:rPr>
          <w:rFonts w:cs="Arial"/>
          <w:szCs w:val="24"/>
        </w:rPr>
        <w:t>nvisa</w:t>
      </w:r>
      <w:r w:rsidRPr="00957637">
        <w:rPr>
          <w:rFonts w:cs="Arial"/>
          <w:szCs w:val="24"/>
        </w:rPr>
        <w:t xml:space="preserve"> para armazenamento de vacinas (↑).</w:t>
      </w:r>
    </w:p>
    <w:p w14:paraId="57EBAF5F"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plano de contingência para manutenção das condições adequadas de armazenamento de vacinas em caso de queda de energia.</w:t>
      </w:r>
    </w:p>
    <w:p w14:paraId="07B3B831" w14:textId="1DD05702" w:rsidR="008D766D" w:rsidRDefault="008D766D" w:rsidP="008D766D">
      <w:pPr>
        <w:numPr>
          <w:ilvl w:val="0"/>
          <w:numId w:val="3"/>
        </w:numPr>
        <w:tabs>
          <w:tab w:val="left" w:pos="0"/>
          <w:tab w:val="left" w:pos="709"/>
        </w:tabs>
        <w:spacing w:before="120"/>
        <w:rPr>
          <w:rFonts w:cs="Arial"/>
          <w:szCs w:val="24"/>
        </w:rPr>
      </w:pPr>
      <w:r w:rsidRPr="00957637">
        <w:rPr>
          <w:rFonts w:cs="Arial"/>
          <w:szCs w:val="24"/>
        </w:rPr>
        <w:t>Não registro das vacinas aplicadas no sistema de controle de vacinação do Ministério da Saúde.</w:t>
      </w:r>
    </w:p>
    <w:p w14:paraId="5CA6A53E" w14:textId="20AC3F9A" w:rsidR="00501F42" w:rsidRPr="00C67F67" w:rsidRDefault="00501F42" w:rsidP="007B169A">
      <w:pPr>
        <w:numPr>
          <w:ilvl w:val="0"/>
          <w:numId w:val="3"/>
        </w:numPr>
        <w:tabs>
          <w:tab w:val="left" w:pos="0"/>
          <w:tab w:val="left" w:pos="709"/>
        </w:tabs>
        <w:spacing w:before="120"/>
        <w:rPr>
          <w:rFonts w:cs="Arial"/>
          <w:szCs w:val="24"/>
        </w:rPr>
      </w:pPr>
      <w:r w:rsidRPr="00C67F67">
        <w:rPr>
          <w:rFonts w:cs="Arial"/>
          <w:szCs w:val="24"/>
        </w:rPr>
        <w:t>Não possuir procedimentos operacionais padrão descritos para as atividades relacionadas à aferição de parâmetros bioquímicos e fisiológicos e administração de medicamentos), incluídas referências bibliográficas e indicadores para avaliação dos resultados e demais serviços farmacêuticos.</w:t>
      </w:r>
    </w:p>
    <w:p w14:paraId="14ADD9C3"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6C87DCE3" w14:textId="77777777" w:rsidR="008D766D" w:rsidRPr="00957637" w:rsidRDefault="008D766D" w:rsidP="008D766D">
      <w:pPr>
        <w:numPr>
          <w:ilvl w:val="0"/>
          <w:numId w:val="3"/>
        </w:numPr>
        <w:tabs>
          <w:tab w:val="left" w:pos="0"/>
          <w:tab w:val="left" w:pos="709"/>
        </w:tabs>
        <w:spacing w:before="120"/>
        <w:rPr>
          <w:rFonts w:cs="Arial"/>
          <w:bCs/>
          <w:color w:val="000000"/>
          <w:szCs w:val="24"/>
        </w:rPr>
      </w:pPr>
      <w:r w:rsidRPr="00957637">
        <w:rPr>
          <w:rFonts w:cs="Arial"/>
          <w:szCs w:val="24"/>
        </w:rPr>
        <w:t>Não manter disponível, para informar ao usuário, lista atualizada com a identificação dos estabelecimentos públicos de saúde mais próximos, contendo a indicação de endereço e telefone.</w:t>
      </w:r>
    </w:p>
    <w:p w14:paraId="1BCB5A63"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registro da aferição dos parâmetros fisiológicos e de EAC, contendo informações referentes ao usuário (nome, endereço, telefone e assinatura), às orientações e intervenções farmacêuticas realizadas e aos resultados delas decorrentes, bem como informações do profissional responsável pela execução do serviço (nome e número de inscrição no Conselho Regional de Farmácia).</w:t>
      </w:r>
    </w:p>
    <w:p w14:paraId="6357548A"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registro das vacinas aplicadas no cartão de vacinação disponibilizado aos pacientes.</w:t>
      </w:r>
    </w:p>
    <w:p w14:paraId="28532466"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 xml:space="preserve">Ausência de </w:t>
      </w:r>
      <w:bookmarkStart w:id="5" w:name="_Hlk168479082"/>
      <w:r w:rsidRPr="00957637">
        <w:rPr>
          <w:rFonts w:cs="Arial"/>
          <w:szCs w:val="24"/>
        </w:rPr>
        <w:t>CNES</w:t>
      </w:r>
      <w:bookmarkEnd w:id="5"/>
      <w:r w:rsidRPr="00957637">
        <w:rPr>
          <w:rFonts w:cs="Arial"/>
          <w:szCs w:val="24"/>
        </w:rPr>
        <w:t xml:space="preserve"> para realização de EAC e aplicação de vacinas.</w:t>
      </w:r>
    </w:p>
    <w:p w14:paraId="18A836F9" w14:textId="77777777" w:rsidR="008D766D" w:rsidRPr="00957637" w:rsidRDefault="008D766D" w:rsidP="008D766D">
      <w:pPr>
        <w:pStyle w:val="PargrafodaLista"/>
        <w:ind w:left="0"/>
        <w:rPr>
          <w:rFonts w:cs="Arial"/>
          <w:b/>
          <w:szCs w:val="24"/>
        </w:rPr>
      </w:pPr>
    </w:p>
    <w:p w14:paraId="0851A0BD"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 (ATENÇÃO FARMACÊUTICA)</w:t>
      </w:r>
    </w:p>
    <w:p w14:paraId="3E902191"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lastRenderedPageBreak/>
        <w:t>Não Conformidades Menores:</w:t>
      </w:r>
    </w:p>
    <w:p w14:paraId="3A648647"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possuir procedimentos operacionais padrão descritos para as atividades relacionadas à atenção farmacêutica.</w:t>
      </w:r>
    </w:p>
    <w:p w14:paraId="3D801A06"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registro das ações relacionadas à atenção farmacêutica e atenção farmacêutica domiciliar, de modo a permitir a avaliação de seus resultados.</w:t>
      </w:r>
    </w:p>
    <w:p w14:paraId="767335E9"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notificação pelo farmacêutico quando da ocorrência ou suspeita de evento adverso ou queixa técnica às autoridades sanitárias (↑).</w:t>
      </w:r>
    </w:p>
    <w:p w14:paraId="3CE834C4" w14:textId="77777777" w:rsidR="008D766D" w:rsidRPr="00957637" w:rsidRDefault="008D766D" w:rsidP="008D766D">
      <w:pPr>
        <w:pStyle w:val="PargrafodaLista"/>
        <w:ind w:left="0"/>
        <w:rPr>
          <w:rFonts w:cs="Arial"/>
          <w:b/>
          <w:szCs w:val="24"/>
        </w:rPr>
      </w:pPr>
    </w:p>
    <w:p w14:paraId="333D0644"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 (ATENÇÃO FARMACÊUTICA DOMICILIAR)</w:t>
      </w:r>
    </w:p>
    <w:p w14:paraId="472627FC"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1E81272D" w14:textId="3361464C" w:rsidR="008D766D" w:rsidRPr="00701A2C" w:rsidRDefault="008D766D" w:rsidP="00701A2C">
      <w:pPr>
        <w:numPr>
          <w:ilvl w:val="0"/>
          <w:numId w:val="3"/>
        </w:numPr>
        <w:tabs>
          <w:tab w:val="left" w:pos="0"/>
          <w:tab w:val="left" w:pos="709"/>
        </w:tabs>
        <w:spacing w:before="120"/>
        <w:rPr>
          <w:rFonts w:cs="Arial"/>
          <w:szCs w:val="24"/>
        </w:rPr>
      </w:pPr>
      <w:r w:rsidRPr="00957637">
        <w:rPr>
          <w:rFonts w:cs="Arial"/>
          <w:szCs w:val="24"/>
        </w:rPr>
        <w:t>Realizar a prestação de atenção farmacêutica domiciliar sem autorização dos órgãos competentes.</w:t>
      </w:r>
    </w:p>
    <w:p w14:paraId="5BC8B181"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 (AFERIÇÃO DOS PARÂMETROS FISIOLÓGICOS)</w:t>
      </w:r>
    </w:p>
    <w:p w14:paraId="3D4E78A1"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06769F5E"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Não apresentar registros das manutenções e calibrações periódicas dos aparelhos, segundo regulamentação específica do órgão competente e instruções do fabricante do equipamento.</w:t>
      </w:r>
    </w:p>
    <w:p w14:paraId="0FCC9BB0"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61EA3A85"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Procedimento Operacional Padrão (POP) com a inclusão das informações sobre os equipamentos de proteção individual (EPIs) a serem utilizados para a medição de parâmetros fisiológicos e bioquímico, assim como orientações sobre seu uso e descarte.</w:t>
      </w:r>
    </w:p>
    <w:p w14:paraId="71D3F37A"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lastRenderedPageBreak/>
        <w:t>Inexistência de avaliação dos registros de calibração ou documentos constando resultados de calibração não condizentes com as atividades executadas (↓).</w:t>
      </w:r>
    </w:p>
    <w:p w14:paraId="6B30967D" w14:textId="77777777" w:rsidR="008D766D" w:rsidRPr="00957637" w:rsidRDefault="008D766D" w:rsidP="008D766D">
      <w:pPr>
        <w:pStyle w:val="PargrafodaLista"/>
        <w:ind w:left="0"/>
        <w:rPr>
          <w:rFonts w:cs="Arial"/>
          <w:b/>
          <w:szCs w:val="24"/>
        </w:rPr>
      </w:pPr>
    </w:p>
    <w:p w14:paraId="420A2D53"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 (ADMINISTRAÇÃO DE MEDICAMENTOS)</w:t>
      </w:r>
    </w:p>
    <w:p w14:paraId="1B79A2FE"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246EBBF3" w14:textId="77777777" w:rsidR="008D766D" w:rsidRPr="00957637" w:rsidRDefault="008D766D" w:rsidP="008D766D">
      <w:pPr>
        <w:numPr>
          <w:ilvl w:val="0"/>
          <w:numId w:val="3"/>
        </w:numPr>
        <w:tabs>
          <w:tab w:val="left" w:pos="0"/>
          <w:tab w:val="left" w:pos="709"/>
        </w:tabs>
        <w:spacing w:before="120"/>
        <w:rPr>
          <w:rFonts w:cs="Arial"/>
          <w:szCs w:val="24"/>
        </w:rPr>
      </w:pPr>
      <w:r w:rsidRPr="00957637">
        <w:t>Administração de medicamentos de uso exclusivo hospitalar.</w:t>
      </w:r>
    </w:p>
    <w:p w14:paraId="472D0C4E" w14:textId="77777777" w:rsidR="008D766D" w:rsidRPr="00957637" w:rsidRDefault="008D766D" w:rsidP="008D766D">
      <w:pPr>
        <w:numPr>
          <w:ilvl w:val="0"/>
          <w:numId w:val="3"/>
        </w:numPr>
        <w:tabs>
          <w:tab w:val="left" w:pos="0"/>
          <w:tab w:val="left" w:pos="709"/>
        </w:tabs>
        <w:spacing w:before="120"/>
        <w:rPr>
          <w:rFonts w:cs="Arial"/>
          <w:szCs w:val="24"/>
        </w:rPr>
      </w:pPr>
      <w:r w:rsidRPr="00957637">
        <w:t>Administração de medicamentos, para os quais é exigida a prescrição médica, sem apresentação de receita e avaliação pelo farmacêutico.</w:t>
      </w:r>
    </w:p>
    <w:p w14:paraId="263DDA90" w14:textId="77777777" w:rsidR="008D766D" w:rsidRPr="00957637" w:rsidRDefault="008D766D" w:rsidP="008D766D">
      <w:pPr>
        <w:numPr>
          <w:ilvl w:val="0"/>
          <w:numId w:val="3"/>
        </w:numPr>
        <w:tabs>
          <w:tab w:val="left" w:pos="0"/>
          <w:tab w:val="left" w:pos="709"/>
        </w:tabs>
        <w:spacing w:before="120"/>
        <w:rPr>
          <w:rFonts w:cs="Arial"/>
          <w:szCs w:val="24"/>
        </w:rPr>
      </w:pPr>
      <w:r w:rsidRPr="00957637">
        <w:t>Administração de medicamento com prazo de validade expirado ou apresentando indícios de adulteração ou irregularidade.</w:t>
      </w:r>
    </w:p>
    <w:p w14:paraId="2DF69211" w14:textId="77777777" w:rsidR="008D766D" w:rsidRPr="00957637" w:rsidRDefault="008D766D" w:rsidP="008D766D">
      <w:pPr>
        <w:numPr>
          <w:ilvl w:val="0"/>
          <w:numId w:val="3"/>
        </w:numPr>
        <w:tabs>
          <w:tab w:val="left" w:pos="0"/>
          <w:tab w:val="left" w:pos="709"/>
        </w:tabs>
        <w:spacing w:before="120"/>
        <w:rPr>
          <w:rFonts w:cs="Arial"/>
          <w:szCs w:val="24"/>
        </w:rPr>
      </w:pPr>
      <w:r w:rsidRPr="00957637">
        <w:t>Utilização de materiais, aparelhos e acessórios para a administração de medicamentos, sem registro, notificação, cadastro ou que não sejam legalmente dispensados de tais requisitos junto à Anvisa, bem como com prazo de validade expirado.</w:t>
      </w:r>
    </w:p>
    <w:p w14:paraId="674E6227" w14:textId="77777777" w:rsidR="008D766D" w:rsidRPr="00957637" w:rsidRDefault="008D766D" w:rsidP="008D766D">
      <w:pPr>
        <w:numPr>
          <w:ilvl w:val="0"/>
          <w:numId w:val="3"/>
        </w:numPr>
        <w:tabs>
          <w:tab w:val="left" w:pos="0"/>
          <w:tab w:val="left" w:pos="709"/>
        </w:tabs>
        <w:spacing w:before="120"/>
        <w:rPr>
          <w:rFonts w:cs="Arial"/>
          <w:szCs w:val="24"/>
        </w:rPr>
      </w:pPr>
      <w:r w:rsidRPr="00957637">
        <w:t>Armazenamento de medicamentos cuja embalagem primária tenha sido violada.</w:t>
      </w:r>
    </w:p>
    <w:p w14:paraId="4518530D" w14:textId="77777777" w:rsidR="008D766D" w:rsidRPr="00957637" w:rsidRDefault="008D766D" w:rsidP="008D766D">
      <w:pPr>
        <w:tabs>
          <w:tab w:val="left" w:pos="567"/>
        </w:tabs>
        <w:spacing w:before="120"/>
        <w:jc w:val="left"/>
        <w:rPr>
          <w:rFonts w:cs="Arial"/>
          <w:b/>
          <w:bCs/>
          <w:szCs w:val="24"/>
          <w:u w:val="single"/>
        </w:rPr>
      </w:pPr>
      <w:r w:rsidRPr="00957637">
        <w:rPr>
          <w:rFonts w:cs="Arial"/>
          <w:b/>
          <w:bCs/>
          <w:szCs w:val="24"/>
          <w:u w:val="single"/>
        </w:rPr>
        <w:t>Não Conformidades Maiores:</w:t>
      </w:r>
    </w:p>
    <w:p w14:paraId="5136EE3E" w14:textId="77777777" w:rsidR="008D766D" w:rsidRPr="00957637" w:rsidRDefault="008D766D" w:rsidP="008D766D">
      <w:pPr>
        <w:numPr>
          <w:ilvl w:val="0"/>
          <w:numId w:val="3"/>
        </w:numPr>
        <w:tabs>
          <w:tab w:val="left" w:pos="0"/>
          <w:tab w:val="left" w:pos="709"/>
        </w:tabs>
        <w:spacing w:before="120"/>
        <w:rPr>
          <w:rFonts w:cs="Arial"/>
          <w:szCs w:val="24"/>
        </w:rPr>
      </w:pPr>
      <w:r w:rsidRPr="00957637">
        <w:t xml:space="preserve">Deixar de verificar a data de validade do medicamento antes da administração. </w:t>
      </w:r>
    </w:p>
    <w:p w14:paraId="435E962B" w14:textId="77777777" w:rsidR="008D766D" w:rsidRPr="00957637" w:rsidRDefault="008D766D" w:rsidP="008D766D">
      <w:pPr>
        <w:numPr>
          <w:ilvl w:val="0"/>
          <w:numId w:val="3"/>
        </w:numPr>
        <w:tabs>
          <w:tab w:val="left" w:pos="0"/>
          <w:tab w:val="left" w:pos="709"/>
        </w:tabs>
        <w:spacing w:before="120"/>
        <w:rPr>
          <w:rFonts w:cs="Arial"/>
          <w:szCs w:val="24"/>
        </w:rPr>
      </w:pPr>
      <w:r w:rsidRPr="00957637">
        <w:rPr>
          <w:rFonts w:cs="Arial"/>
          <w:szCs w:val="24"/>
        </w:rPr>
        <w:t>Inexistência de procedimento operacional padrão descrevendo a prestação do serviço farmacêutico.</w:t>
      </w:r>
    </w:p>
    <w:p w14:paraId="1EB3BAB4"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700E3F03" w14:textId="77777777" w:rsidR="008D766D" w:rsidRPr="008E0A48" w:rsidRDefault="008D766D" w:rsidP="008E0A48">
      <w:pPr>
        <w:numPr>
          <w:ilvl w:val="0"/>
          <w:numId w:val="3"/>
        </w:numPr>
        <w:tabs>
          <w:tab w:val="left" w:pos="0"/>
          <w:tab w:val="left" w:pos="709"/>
        </w:tabs>
        <w:spacing w:before="120"/>
        <w:rPr>
          <w:rFonts w:cs="Arial"/>
          <w:szCs w:val="24"/>
        </w:rPr>
      </w:pPr>
      <w:r w:rsidRPr="00957637">
        <w:t>Deixar de orientar o usuário quanto às condições de armazenamento necessárias à preservação da qualidade do produto.</w:t>
      </w:r>
    </w:p>
    <w:p w14:paraId="6D945C0F"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lastRenderedPageBreak/>
        <w:t>PRESTAÇÃO DE SERVIÇOS FARMACÊUTICOS (PERFURAÇÃO DO LÓBULO AURICULAR PARA COLOCAÇÃO DE BRINCOS)</w:t>
      </w:r>
    </w:p>
    <w:p w14:paraId="6F9CA2F5"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Críticas:</w:t>
      </w:r>
    </w:p>
    <w:p w14:paraId="6724866A" w14:textId="77777777" w:rsidR="008D766D" w:rsidRPr="00957637" w:rsidRDefault="008D766D" w:rsidP="008D766D">
      <w:pPr>
        <w:numPr>
          <w:ilvl w:val="0"/>
          <w:numId w:val="3"/>
        </w:numPr>
        <w:tabs>
          <w:tab w:val="left" w:pos="0"/>
          <w:tab w:val="left" w:pos="709"/>
        </w:tabs>
        <w:spacing w:before="120"/>
      </w:pPr>
      <w:r w:rsidRPr="00957637">
        <w:t>Não utilizar aparelho específico e que utilize o brinco como material perfurante para perfuração do lóbulo auricular.</w:t>
      </w:r>
    </w:p>
    <w:p w14:paraId="7F45829F" w14:textId="77777777" w:rsidR="008D766D" w:rsidRPr="00957637" w:rsidRDefault="008D766D" w:rsidP="008D766D">
      <w:pPr>
        <w:numPr>
          <w:ilvl w:val="0"/>
          <w:numId w:val="3"/>
        </w:numPr>
        <w:tabs>
          <w:tab w:val="left" w:pos="0"/>
          <w:tab w:val="left" w:pos="709"/>
        </w:tabs>
        <w:spacing w:before="120"/>
      </w:pPr>
      <w:r w:rsidRPr="00957637">
        <w:t>Realizar perfuração do lóbulo auricular com brincos e pistola não regularizados junto à Anvisa.</w:t>
      </w:r>
    </w:p>
    <w:p w14:paraId="28B1001B" w14:textId="77777777" w:rsidR="008D766D" w:rsidRPr="00957637" w:rsidRDefault="008D766D" w:rsidP="008D766D">
      <w:pPr>
        <w:numPr>
          <w:ilvl w:val="0"/>
          <w:numId w:val="3"/>
        </w:numPr>
        <w:tabs>
          <w:tab w:val="left" w:pos="0"/>
          <w:tab w:val="left" w:pos="709"/>
        </w:tabs>
        <w:spacing w:before="120"/>
      </w:pPr>
      <w:r w:rsidRPr="00957637">
        <w:t>Utilizar agulhas de aplicação de injeção, agulhas de suturas e outros objetos para a realização da perfuração.</w:t>
      </w:r>
    </w:p>
    <w:p w14:paraId="295DC67B"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0D9418C8" w14:textId="77777777" w:rsidR="008D766D" w:rsidRPr="00957637" w:rsidRDefault="008D766D" w:rsidP="008D766D">
      <w:pPr>
        <w:numPr>
          <w:ilvl w:val="0"/>
          <w:numId w:val="3"/>
        </w:numPr>
        <w:tabs>
          <w:tab w:val="left" w:pos="0"/>
          <w:tab w:val="left" w:pos="709"/>
        </w:tabs>
        <w:spacing w:before="120"/>
      </w:pPr>
      <w:r w:rsidRPr="00957637">
        <w:t>Não conservar os brincos em condições que permitam a manutenção da sua esterilidade.</w:t>
      </w:r>
    </w:p>
    <w:p w14:paraId="058757B3"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343C137E" w14:textId="77777777" w:rsidR="008D766D" w:rsidRPr="00957637" w:rsidRDefault="008D766D" w:rsidP="008D766D">
      <w:pPr>
        <w:numPr>
          <w:ilvl w:val="0"/>
          <w:numId w:val="3"/>
        </w:numPr>
        <w:tabs>
          <w:tab w:val="left" w:pos="0"/>
          <w:tab w:val="left" w:pos="709"/>
        </w:tabs>
        <w:spacing w:before="120"/>
        <w:rPr>
          <w:rFonts w:cs="Arial"/>
          <w:b/>
          <w:szCs w:val="24"/>
        </w:rPr>
      </w:pPr>
      <w:r w:rsidRPr="00957637">
        <w:t xml:space="preserve">Não estabelecer procedimentos (POPs) relacionados à antissepsia do lóbulo auricular do usuário e das mãos do aplicador, bem como ao uso e assepsia do aparelho utilizado para a perfuração, os equipamentos de proteção individual a serem utilizados e instruções para seu uso e descarte.  </w:t>
      </w:r>
    </w:p>
    <w:p w14:paraId="7FC49BB7" w14:textId="77777777" w:rsidR="008D766D" w:rsidRPr="00957637" w:rsidRDefault="008D766D" w:rsidP="008D766D">
      <w:pPr>
        <w:pStyle w:val="PargrafodaLista"/>
        <w:ind w:left="0"/>
        <w:rPr>
          <w:rFonts w:cs="Arial"/>
          <w:b/>
          <w:szCs w:val="24"/>
        </w:rPr>
      </w:pPr>
    </w:p>
    <w:p w14:paraId="3496BE9B" w14:textId="77777777" w:rsidR="008D766D" w:rsidRPr="00957637" w:rsidRDefault="008D766D" w:rsidP="008D766D">
      <w:pPr>
        <w:numPr>
          <w:ilvl w:val="0"/>
          <w:numId w:val="1"/>
        </w:numPr>
        <w:tabs>
          <w:tab w:val="left" w:pos="567"/>
        </w:tabs>
        <w:spacing w:before="120"/>
        <w:ind w:left="0" w:firstLine="0"/>
        <w:rPr>
          <w:rFonts w:cs="Arial"/>
          <w:b/>
          <w:szCs w:val="24"/>
        </w:rPr>
      </w:pPr>
      <w:r w:rsidRPr="00957637">
        <w:rPr>
          <w:rFonts w:cs="Arial"/>
          <w:b/>
          <w:szCs w:val="24"/>
        </w:rPr>
        <w:t>PRESTAÇÃO DE SERVIÇOS FARMACÊUTICOS (DECLARAÇÃO DE SERVIÇO FARMACÊUTICO)</w:t>
      </w:r>
    </w:p>
    <w:p w14:paraId="161B155B" w14:textId="77777777" w:rsidR="008D766D" w:rsidRPr="00957637" w:rsidRDefault="008D766D" w:rsidP="008D766D">
      <w:pPr>
        <w:tabs>
          <w:tab w:val="left" w:pos="567"/>
        </w:tabs>
        <w:spacing w:before="120"/>
        <w:jc w:val="left"/>
        <w:rPr>
          <w:rFonts w:cs="Arial"/>
          <w:b/>
          <w:bCs/>
          <w:color w:val="000000"/>
          <w:szCs w:val="24"/>
          <w:u w:val="single"/>
        </w:rPr>
      </w:pPr>
      <w:r w:rsidRPr="00957637">
        <w:rPr>
          <w:rFonts w:cs="Arial"/>
          <w:b/>
          <w:bCs/>
          <w:color w:val="000000"/>
          <w:szCs w:val="24"/>
          <w:u w:val="single"/>
        </w:rPr>
        <w:t>Não Conformidades Maiores:</w:t>
      </w:r>
    </w:p>
    <w:p w14:paraId="280EFDC1" w14:textId="77777777" w:rsidR="008D766D" w:rsidRPr="00957637" w:rsidRDefault="008D766D" w:rsidP="008D766D">
      <w:pPr>
        <w:numPr>
          <w:ilvl w:val="0"/>
          <w:numId w:val="3"/>
        </w:numPr>
        <w:tabs>
          <w:tab w:val="left" w:pos="0"/>
          <w:tab w:val="left" w:pos="709"/>
        </w:tabs>
        <w:spacing w:before="120"/>
        <w:rPr>
          <w:rFonts w:cs="Arial"/>
          <w:b/>
          <w:szCs w:val="24"/>
        </w:rPr>
      </w:pPr>
      <w:r w:rsidRPr="00957637">
        <w:rPr>
          <w:rFonts w:cs="Arial"/>
          <w:szCs w:val="24"/>
        </w:rPr>
        <w:t xml:space="preserve">Fornecer dados e </w:t>
      </w:r>
      <w:r w:rsidRPr="00957637">
        <w:t>informações obtidos em decorrência da prestação de serviços farmacêuticos a terceiros com finalidade diversa à prestação dos referidos serviços.</w:t>
      </w:r>
    </w:p>
    <w:p w14:paraId="6229A9B5" w14:textId="77777777" w:rsidR="008D766D" w:rsidRPr="00957637" w:rsidRDefault="008D766D" w:rsidP="008D766D">
      <w:pPr>
        <w:numPr>
          <w:ilvl w:val="0"/>
          <w:numId w:val="3"/>
        </w:numPr>
        <w:tabs>
          <w:tab w:val="left" w:pos="0"/>
          <w:tab w:val="left" w:pos="709"/>
        </w:tabs>
        <w:spacing w:before="120"/>
        <w:rPr>
          <w:rFonts w:cs="Arial"/>
          <w:b/>
          <w:szCs w:val="24"/>
        </w:rPr>
      </w:pPr>
      <w:r w:rsidRPr="00957637">
        <w:lastRenderedPageBreak/>
        <w:t>Executar serviço farmacêutico sem antes preceder a antissepsia das mãos do profissional, independente do uso de Equipamentos de Proteção Individual (EPI).</w:t>
      </w:r>
    </w:p>
    <w:p w14:paraId="7360615D" w14:textId="77777777" w:rsidR="008D766D" w:rsidRPr="00957637" w:rsidRDefault="008D766D" w:rsidP="008D766D">
      <w:pPr>
        <w:tabs>
          <w:tab w:val="left" w:pos="567"/>
        </w:tabs>
        <w:spacing w:before="120"/>
        <w:rPr>
          <w:rFonts w:cs="Arial"/>
          <w:b/>
          <w:szCs w:val="24"/>
          <w:u w:val="single"/>
        </w:rPr>
      </w:pPr>
      <w:r w:rsidRPr="00957637">
        <w:rPr>
          <w:rFonts w:cs="Arial"/>
          <w:b/>
          <w:szCs w:val="24"/>
          <w:u w:val="single"/>
        </w:rPr>
        <w:t>Não Conformidades Menores:</w:t>
      </w:r>
    </w:p>
    <w:p w14:paraId="53841A1B" w14:textId="77777777" w:rsidR="008D766D" w:rsidRPr="00957637" w:rsidRDefault="008D766D" w:rsidP="008D766D">
      <w:pPr>
        <w:numPr>
          <w:ilvl w:val="0"/>
          <w:numId w:val="3"/>
        </w:numPr>
        <w:tabs>
          <w:tab w:val="left" w:pos="0"/>
          <w:tab w:val="left" w:pos="709"/>
        </w:tabs>
        <w:spacing w:before="120"/>
      </w:pPr>
      <w:r w:rsidRPr="00957637">
        <w:t>Não fornecer Declaração de Serviço Farmacêutico ao usuário após a prestação do serviço farmacêutico.</w:t>
      </w:r>
    </w:p>
    <w:p w14:paraId="0DEA5840" w14:textId="77777777" w:rsidR="008D766D" w:rsidRPr="00957637" w:rsidRDefault="008D766D" w:rsidP="008D766D">
      <w:pPr>
        <w:numPr>
          <w:ilvl w:val="0"/>
          <w:numId w:val="3"/>
        </w:numPr>
        <w:tabs>
          <w:tab w:val="left" w:pos="0"/>
          <w:tab w:val="left" w:pos="709"/>
        </w:tabs>
        <w:spacing w:before="120"/>
      </w:pPr>
      <w:r w:rsidRPr="00957637">
        <w:t>Declaração de Serviço Farmacêutico sem todas as informações exigidas no §2º do Art. 81 da RDC 44/09.</w:t>
      </w:r>
    </w:p>
    <w:p w14:paraId="72484BF0" w14:textId="77777777" w:rsidR="008D766D" w:rsidRPr="00957637" w:rsidRDefault="008D766D" w:rsidP="008D766D">
      <w:pPr>
        <w:numPr>
          <w:ilvl w:val="0"/>
          <w:numId w:val="3"/>
        </w:numPr>
        <w:tabs>
          <w:tab w:val="left" w:pos="0"/>
          <w:tab w:val="left" w:pos="709"/>
        </w:tabs>
        <w:spacing w:before="120"/>
      </w:pPr>
      <w:r w:rsidRPr="00957637">
        <w:t>Não manter arquivada a segunda via da Declaração de Serviço Farmacêutico prestada.</w:t>
      </w:r>
    </w:p>
    <w:p w14:paraId="5A963B55" w14:textId="77777777" w:rsidR="008D766D" w:rsidRPr="00957637" w:rsidRDefault="008D766D" w:rsidP="008D766D">
      <w:pPr>
        <w:numPr>
          <w:ilvl w:val="0"/>
          <w:numId w:val="3"/>
        </w:numPr>
        <w:tabs>
          <w:tab w:val="left" w:pos="0"/>
          <w:tab w:val="left" w:pos="709"/>
        </w:tabs>
        <w:spacing w:before="120"/>
        <w:rPr>
          <w:rFonts w:cs="Arial"/>
          <w:b/>
          <w:szCs w:val="24"/>
        </w:rPr>
      </w:pPr>
      <w:r w:rsidRPr="00957637">
        <w:t>Não estabelecer os Procedimentos Operacionais Padrão (POPs) relacionados aos serviços farmacêuticos.</w:t>
      </w:r>
    </w:p>
    <w:p w14:paraId="506F238A" w14:textId="77777777" w:rsidR="008D766D" w:rsidRPr="00957637" w:rsidRDefault="008D766D" w:rsidP="008D766D">
      <w:pPr>
        <w:rPr>
          <w:rFonts w:cs="Arial"/>
          <w:b/>
          <w:color w:val="FF0000"/>
          <w:szCs w:val="24"/>
        </w:rPr>
      </w:pPr>
    </w:p>
    <w:p w14:paraId="52B3420B" w14:textId="77777777" w:rsidR="008D766D" w:rsidRPr="00957637" w:rsidRDefault="008D766D" w:rsidP="008D766D">
      <w:pPr>
        <w:rPr>
          <w:rFonts w:cs="Arial"/>
          <w:b/>
          <w:szCs w:val="24"/>
        </w:rPr>
      </w:pPr>
      <w:r w:rsidRPr="00957637">
        <w:rPr>
          <w:rFonts w:cs="Arial"/>
          <w:b/>
          <w:szCs w:val="24"/>
        </w:rPr>
        <w:t>22. PRESTAÇÃO DE SERVIÇOS FARMACÊUTICOS (EXAMES DE ANÁLISES CLÍNICAS EM FARMÁCIAS/DROGARIAS - SERVIÇOS TIPO I CONFORME RDC 786/ 2023):</w:t>
      </w:r>
    </w:p>
    <w:p w14:paraId="41F982D4" w14:textId="77777777" w:rsidR="008D766D" w:rsidRPr="00957637" w:rsidRDefault="008D766D" w:rsidP="008D766D">
      <w:pPr>
        <w:rPr>
          <w:rFonts w:cs="Arial"/>
          <w:b/>
          <w:szCs w:val="24"/>
          <w:u w:val="single"/>
        </w:rPr>
      </w:pPr>
    </w:p>
    <w:p w14:paraId="1C1CC8E6" w14:textId="77777777" w:rsidR="008D766D" w:rsidRPr="00957637" w:rsidRDefault="008D766D" w:rsidP="008D766D">
      <w:pPr>
        <w:rPr>
          <w:rFonts w:cs="Arial"/>
          <w:b/>
          <w:szCs w:val="24"/>
        </w:rPr>
      </w:pPr>
      <w:r w:rsidRPr="00957637">
        <w:rPr>
          <w:rFonts w:cs="Arial"/>
          <w:b/>
          <w:szCs w:val="24"/>
          <w:u w:val="single"/>
        </w:rPr>
        <w:t>Não Conformidades Críticas</w:t>
      </w:r>
      <w:r w:rsidRPr="00957637">
        <w:rPr>
          <w:rFonts w:cs="Arial"/>
          <w:b/>
          <w:szCs w:val="24"/>
        </w:rPr>
        <w:t>:</w:t>
      </w:r>
    </w:p>
    <w:p w14:paraId="1753D6C8"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Os produtos sujeitos à vigilância sanitária utilizados pelo Serviço que executa EAC não estão regularizados junto à Anvisa.</w:t>
      </w:r>
    </w:p>
    <w:p w14:paraId="0663651E" w14:textId="77777777" w:rsidR="008D766D" w:rsidRPr="00957637" w:rsidRDefault="008D766D" w:rsidP="008D766D">
      <w:pPr>
        <w:tabs>
          <w:tab w:val="left" w:pos="567"/>
        </w:tabs>
        <w:spacing w:before="120"/>
        <w:rPr>
          <w:rFonts w:cs="Arial"/>
          <w:b/>
          <w:szCs w:val="24"/>
        </w:rPr>
      </w:pPr>
      <w:r w:rsidRPr="00957637">
        <w:rPr>
          <w:rFonts w:cs="Arial"/>
          <w:b/>
          <w:szCs w:val="24"/>
          <w:u w:val="single"/>
        </w:rPr>
        <w:t>Não Conformidades Maiores</w:t>
      </w:r>
      <w:r w:rsidRPr="00957637">
        <w:rPr>
          <w:rFonts w:cs="Arial"/>
          <w:b/>
          <w:szCs w:val="24"/>
        </w:rPr>
        <w:t>:</w:t>
      </w:r>
    </w:p>
    <w:p w14:paraId="2E2AD4B1"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EAC não é realizado por profissional habilitado.</w:t>
      </w:r>
    </w:p>
    <w:p w14:paraId="3C2E44E5"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EAC que requeira instrumento para leitura, interpretação e visualização dos resultados, ressalvadas as exceções da RDC n° 786/ 2023.</w:t>
      </w:r>
    </w:p>
    <w:p w14:paraId="5615E0AE"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o recebimento ou encaminhamento de material biológico para a realização de EAC.</w:t>
      </w:r>
    </w:p>
    <w:p w14:paraId="205944BC"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lastRenderedPageBreak/>
        <w:t>Realizar EAC que requeira leitura, interpretação e visualização remota dos resultados.</w:t>
      </w:r>
    </w:p>
    <w:p w14:paraId="1BAEABC1"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a guarda, armazenamento ou transporte de material biológico.</w:t>
      </w:r>
    </w:p>
    <w:p w14:paraId="16FFBB38"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atividades relacionadas à fase pré-analítica, à exceção da coleta de material biológico.</w:t>
      </w:r>
    </w:p>
    <w:p w14:paraId="6BBE1E58"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punção venosa e punção arterial.</w:t>
      </w:r>
    </w:p>
    <w:p w14:paraId="779F0F59"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EAC por meio de metodologias próprias (</w:t>
      </w:r>
      <w:r w:rsidRPr="00957637">
        <w:rPr>
          <w:rFonts w:ascii="Arial" w:hAnsi="Arial" w:cs="Arial"/>
          <w:i/>
          <w:sz w:val="24"/>
          <w:szCs w:val="24"/>
        </w:rPr>
        <w:t>in house</w:t>
      </w:r>
      <w:r w:rsidRPr="00957637">
        <w:rPr>
          <w:rFonts w:ascii="Arial" w:hAnsi="Arial" w:cs="Arial"/>
          <w:sz w:val="24"/>
          <w:szCs w:val="24"/>
        </w:rPr>
        <w:t>).</w:t>
      </w:r>
    </w:p>
    <w:p w14:paraId="2C1CD36D"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Realizar EAC que utiliza urina como material biológico.</w:t>
      </w:r>
    </w:p>
    <w:p w14:paraId="68E7CD71"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notificar os resultados dos EAC que indiquem suspeita de Doença de Notificação Compulsória.</w:t>
      </w:r>
    </w:p>
    <w:p w14:paraId="1FC167E1"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realizar o Controle Intern</w:t>
      </w:r>
      <w:r w:rsidR="002E2EE4">
        <w:rPr>
          <w:rFonts w:ascii="Arial" w:hAnsi="Arial" w:cs="Arial"/>
          <w:sz w:val="24"/>
          <w:szCs w:val="24"/>
        </w:rPr>
        <w:t>o</w:t>
      </w:r>
      <w:r w:rsidRPr="00957637">
        <w:rPr>
          <w:rFonts w:ascii="Arial" w:hAnsi="Arial" w:cs="Arial"/>
          <w:sz w:val="24"/>
          <w:szCs w:val="24"/>
        </w:rPr>
        <w:t xml:space="preserve"> da Qualidade para todos os analitos executados, contemplando as informações estabelecidas.</w:t>
      </w:r>
    </w:p>
    <w:p w14:paraId="59BAF7EE"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utilizar amostras controle comerciais regularizadas junto à Anvisa ou amostras controle comerciais obtidas por comparação interlaboratorial, na realização do Controle Intern</w:t>
      </w:r>
      <w:r w:rsidR="002E2EE4">
        <w:rPr>
          <w:rFonts w:ascii="Arial" w:hAnsi="Arial" w:cs="Arial"/>
          <w:sz w:val="24"/>
          <w:szCs w:val="24"/>
        </w:rPr>
        <w:t>o</w:t>
      </w:r>
      <w:r w:rsidRPr="00957637">
        <w:rPr>
          <w:rFonts w:ascii="Arial" w:hAnsi="Arial" w:cs="Arial"/>
          <w:sz w:val="24"/>
          <w:szCs w:val="24"/>
        </w:rPr>
        <w:t xml:space="preserve"> da Qualidade.</w:t>
      </w:r>
    </w:p>
    <w:p w14:paraId="74C65374"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realizar o CIQ em todos os instrumentos em uso.</w:t>
      </w:r>
    </w:p>
    <w:p w14:paraId="777C7BDA"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participar individualmente em programas de Controle Externo da Qualidade para todos os instrumentos em uso.</w:t>
      </w:r>
    </w:p>
    <w:p w14:paraId="7DA85DFE" w14:textId="77777777" w:rsidR="008D766D" w:rsidRPr="00957637" w:rsidRDefault="008D766D" w:rsidP="008D766D">
      <w:pPr>
        <w:pStyle w:val="PargrafodaLista"/>
        <w:numPr>
          <w:ilvl w:val="0"/>
          <w:numId w:val="4"/>
        </w:numPr>
        <w:spacing w:after="160" w:line="360" w:lineRule="auto"/>
        <w:jc w:val="both"/>
        <w:rPr>
          <w:rFonts w:ascii="Arial" w:hAnsi="Arial" w:cs="Arial"/>
          <w:sz w:val="24"/>
          <w:szCs w:val="24"/>
        </w:rPr>
      </w:pPr>
      <w:r w:rsidRPr="00957637">
        <w:rPr>
          <w:rFonts w:ascii="Arial" w:hAnsi="Arial" w:cs="Arial"/>
          <w:sz w:val="24"/>
          <w:szCs w:val="24"/>
        </w:rPr>
        <w:t>Não adotar formas alternativas de avaliação da exatidão do sistema analítico descritas em literatura científica para os exames não contemplados em Programas de Controle Externo da Qualidade.</w:t>
      </w:r>
    </w:p>
    <w:p w14:paraId="3F2AC698" w14:textId="77777777" w:rsidR="008D766D" w:rsidRPr="00957637" w:rsidRDefault="008D766D" w:rsidP="008D766D">
      <w:pPr>
        <w:numPr>
          <w:ilvl w:val="0"/>
          <w:numId w:val="4"/>
        </w:numPr>
        <w:tabs>
          <w:tab w:val="left" w:pos="0"/>
          <w:tab w:val="left" w:pos="709"/>
        </w:tabs>
        <w:spacing w:before="120"/>
        <w:rPr>
          <w:rFonts w:cs="Arial"/>
          <w:szCs w:val="24"/>
        </w:rPr>
      </w:pPr>
      <w:r w:rsidRPr="00957637">
        <w:rPr>
          <w:rFonts w:cs="Arial"/>
          <w:szCs w:val="24"/>
        </w:rPr>
        <w:t xml:space="preserve">Não descartar os materiais perfuro cortantes, gaze ou algodão sujos com sangue, conforme as exigências de legislação específica para Gerenciamento de Resíduos de Serviços de Saúde. </w:t>
      </w:r>
    </w:p>
    <w:p w14:paraId="67118FA8" w14:textId="77777777" w:rsidR="008D766D" w:rsidRPr="00957637" w:rsidRDefault="008D766D" w:rsidP="008D766D">
      <w:pPr>
        <w:tabs>
          <w:tab w:val="left" w:pos="567"/>
        </w:tabs>
        <w:spacing w:before="120"/>
        <w:ind w:left="360"/>
        <w:rPr>
          <w:rFonts w:cs="Arial"/>
          <w:b/>
          <w:szCs w:val="24"/>
        </w:rPr>
      </w:pPr>
      <w:r w:rsidRPr="00957637">
        <w:rPr>
          <w:rFonts w:cs="Arial"/>
          <w:b/>
          <w:szCs w:val="24"/>
          <w:u w:val="single"/>
        </w:rPr>
        <w:t>Não Conformidades Menores</w:t>
      </w:r>
      <w:r w:rsidRPr="00957637">
        <w:rPr>
          <w:rFonts w:cs="Arial"/>
          <w:b/>
          <w:szCs w:val="24"/>
        </w:rPr>
        <w:t>:</w:t>
      </w:r>
    </w:p>
    <w:p w14:paraId="27C10317" w14:textId="77777777" w:rsidR="008D766D" w:rsidRPr="00957637" w:rsidRDefault="008D766D" w:rsidP="008D766D">
      <w:pPr>
        <w:pStyle w:val="PargrafodaLista"/>
        <w:numPr>
          <w:ilvl w:val="0"/>
          <w:numId w:val="5"/>
        </w:numPr>
        <w:spacing w:after="160" w:line="360" w:lineRule="auto"/>
        <w:jc w:val="both"/>
        <w:rPr>
          <w:rFonts w:ascii="Arial" w:hAnsi="Arial" w:cs="Arial"/>
          <w:sz w:val="24"/>
          <w:szCs w:val="24"/>
        </w:rPr>
      </w:pPr>
      <w:r w:rsidRPr="00957637">
        <w:rPr>
          <w:rFonts w:ascii="Arial" w:hAnsi="Arial" w:cs="Arial"/>
          <w:sz w:val="24"/>
          <w:szCs w:val="24"/>
        </w:rPr>
        <w:t>Realizar EAC sem estar inscrito no CNES.</w:t>
      </w:r>
    </w:p>
    <w:p w14:paraId="32A041C7" w14:textId="77777777" w:rsidR="008D766D" w:rsidRPr="00957637" w:rsidRDefault="008D766D" w:rsidP="008D766D">
      <w:pPr>
        <w:pStyle w:val="PargrafodaLista"/>
        <w:numPr>
          <w:ilvl w:val="0"/>
          <w:numId w:val="5"/>
        </w:numPr>
        <w:spacing w:after="160" w:line="360" w:lineRule="auto"/>
        <w:jc w:val="both"/>
        <w:rPr>
          <w:rFonts w:ascii="Arial" w:hAnsi="Arial" w:cs="Arial"/>
          <w:sz w:val="24"/>
          <w:szCs w:val="24"/>
        </w:rPr>
      </w:pPr>
      <w:r w:rsidRPr="00957637">
        <w:rPr>
          <w:rFonts w:ascii="Arial" w:hAnsi="Arial" w:cs="Arial"/>
          <w:sz w:val="24"/>
          <w:szCs w:val="24"/>
        </w:rPr>
        <w:lastRenderedPageBreak/>
        <w:t>Disponibilizar laudo da execução de EAC sem conter o nome e número do cadastro no CNES do (s) estabelecimento (s) responsável (eis) pela fase analítica de cada EAC realizado.</w:t>
      </w:r>
    </w:p>
    <w:p w14:paraId="49084084" w14:textId="77777777" w:rsidR="008D766D" w:rsidRPr="00957637" w:rsidRDefault="008D766D" w:rsidP="008D766D">
      <w:pPr>
        <w:pStyle w:val="PargrafodaLista"/>
        <w:numPr>
          <w:ilvl w:val="0"/>
          <w:numId w:val="5"/>
        </w:numPr>
        <w:spacing w:after="160" w:line="360" w:lineRule="auto"/>
        <w:jc w:val="both"/>
        <w:rPr>
          <w:rFonts w:ascii="Arial" w:hAnsi="Arial" w:cs="Arial"/>
          <w:sz w:val="24"/>
          <w:szCs w:val="24"/>
        </w:rPr>
      </w:pPr>
      <w:r w:rsidRPr="00957637">
        <w:rPr>
          <w:rFonts w:ascii="Arial" w:hAnsi="Arial" w:cs="Arial"/>
          <w:sz w:val="24"/>
          <w:szCs w:val="24"/>
        </w:rPr>
        <w:t>Não realizar o cadastro do paciente com as informações mínimas necessárias.</w:t>
      </w:r>
    </w:p>
    <w:p w14:paraId="5C9FDDE5" w14:textId="77777777" w:rsidR="008D766D" w:rsidRPr="00957637" w:rsidRDefault="008D766D" w:rsidP="008D766D">
      <w:pPr>
        <w:pStyle w:val="PargrafodaLista"/>
        <w:numPr>
          <w:ilvl w:val="0"/>
          <w:numId w:val="5"/>
        </w:numPr>
        <w:spacing w:after="160" w:line="360" w:lineRule="auto"/>
        <w:jc w:val="both"/>
        <w:rPr>
          <w:rFonts w:ascii="Arial" w:hAnsi="Arial" w:cs="Arial"/>
          <w:sz w:val="24"/>
          <w:szCs w:val="24"/>
        </w:rPr>
      </w:pPr>
      <w:r w:rsidRPr="00957637">
        <w:rPr>
          <w:rFonts w:ascii="Arial" w:hAnsi="Arial" w:cs="Arial"/>
          <w:sz w:val="24"/>
          <w:szCs w:val="24"/>
        </w:rPr>
        <w:t xml:space="preserve">Não implementar o </w:t>
      </w:r>
      <w:bookmarkStart w:id="6" w:name="_Hlk168479547"/>
      <w:r w:rsidRPr="00957637">
        <w:rPr>
          <w:rFonts w:ascii="Arial" w:hAnsi="Arial" w:cs="Arial"/>
          <w:sz w:val="24"/>
          <w:szCs w:val="24"/>
        </w:rPr>
        <w:t>Programa de Garantia da Qualidade (PGQ</w:t>
      </w:r>
      <w:bookmarkEnd w:id="6"/>
      <w:r w:rsidRPr="00957637">
        <w:rPr>
          <w:rFonts w:ascii="Arial" w:hAnsi="Arial" w:cs="Arial"/>
          <w:sz w:val="24"/>
          <w:szCs w:val="24"/>
        </w:rPr>
        <w:t>).</w:t>
      </w:r>
    </w:p>
    <w:p w14:paraId="7C108124" w14:textId="77777777" w:rsidR="008D766D" w:rsidRPr="00957637" w:rsidRDefault="008D766D" w:rsidP="008D766D">
      <w:pPr>
        <w:pStyle w:val="PargrafodaLista"/>
        <w:numPr>
          <w:ilvl w:val="0"/>
          <w:numId w:val="5"/>
        </w:numPr>
        <w:spacing w:after="160" w:line="360" w:lineRule="auto"/>
        <w:jc w:val="both"/>
        <w:rPr>
          <w:rFonts w:ascii="Arial" w:hAnsi="Arial" w:cs="Arial"/>
          <w:sz w:val="24"/>
          <w:szCs w:val="24"/>
        </w:rPr>
      </w:pPr>
      <w:r w:rsidRPr="00957637">
        <w:rPr>
          <w:rFonts w:ascii="Arial" w:hAnsi="Arial" w:cs="Arial"/>
          <w:sz w:val="24"/>
          <w:szCs w:val="24"/>
        </w:rPr>
        <w:t>Não monitorar o desempenho e segurança no uso dos produtos sob vigilância sanitária e oferta de serviços, e/ou não adotar estratégias para a identificação e notificação de incidentes, eventos adversos e queixas técnicas ocorridos, investigação das ocorrências e/ou não adoção das medidas para prevenir sua recorrência.</w:t>
      </w:r>
    </w:p>
    <w:sectPr w:rsidR="008D766D" w:rsidRPr="00957637" w:rsidSect="00F63B7E">
      <w:headerReference w:type="even" r:id="rId7"/>
      <w:headerReference w:type="default" r:id="rId8"/>
      <w:footerReference w:type="even" r:id="rId9"/>
      <w:footerReference w:type="default" r:id="rId10"/>
      <w:headerReference w:type="first" r:id="rId11"/>
      <w:footerReference w:type="first" r:id="rId12"/>
      <w:pgSz w:w="11906" w:h="16838"/>
      <w:pgMar w:top="1418" w:right="851" w:bottom="992" w:left="1701"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12F9B" w14:textId="77777777" w:rsidR="00634927" w:rsidRDefault="00634927" w:rsidP="001C4F50">
      <w:pPr>
        <w:spacing w:line="240" w:lineRule="auto"/>
      </w:pPr>
      <w:r>
        <w:separator/>
      </w:r>
    </w:p>
  </w:endnote>
  <w:endnote w:type="continuationSeparator" w:id="0">
    <w:p w14:paraId="1FDF64CC" w14:textId="77777777" w:rsidR="00634927" w:rsidRDefault="00634927" w:rsidP="001C4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16672" w14:textId="77777777" w:rsidR="001A6EEB" w:rsidRDefault="001A6EE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B3F50" w14:textId="77777777" w:rsidR="002C25EE" w:rsidRDefault="002C25EE" w:rsidP="0041154F">
    <w:pPr>
      <w:pStyle w:val="Rodap"/>
      <w:spacing w:line="240" w:lineRule="auto"/>
      <w:jc w:val="right"/>
      <w:rPr>
        <w:rFonts w:cs="Arial"/>
        <w:bCs/>
        <w:sz w:val="18"/>
        <w:szCs w:val="18"/>
      </w:rPr>
    </w:pPr>
  </w:p>
  <w:p w14:paraId="32F8B269" w14:textId="77777777" w:rsidR="002C25EE" w:rsidRDefault="002C25EE" w:rsidP="0041154F">
    <w:pPr>
      <w:pStyle w:val="Rodap"/>
      <w:spacing w:line="240" w:lineRule="auto"/>
      <w:jc w:val="right"/>
      <w:rPr>
        <w:rFonts w:cs="Arial"/>
        <w:bCs/>
        <w:sz w:val="18"/>
        <w:szCs w:val="18"/>
      </w:rPr>
    </w:pPr>
  </w:p>
  <w:p w14:paraId="1F35B12E" w14:textId="7A1176D5" w:rsidR="008D5538" w:rsidRPr="008D5538" w:rsidRDefault="008D5538" w:rsidP="001A6EEB">
    <w:pPr>
      <w:pStyle w:val="Rodap"/>
      <w:spacing w:line="240" w:lineRule="auto"/>
      <w:jc w:val="right"/>
      <w:rPr>
        <w:rFonts w:cs="Arial"/>
        <w:sz w:val="18"/>
        <w:szCs w:val="18"/>
      </w:rPr>
    </w:pPr>
    <w:r w:rsidRPr="002E2EE4">
      <w:rPr>
        <w:rFonts w:cs="Arial"/>
        <w:bCs/>
        <w:sz w:val="18"/>
        <w:szCs w:val="18"/>
      </w:rPr>
      <w:t>ANEXO I</w:t>
    </w:r>
    <w:r w:rsidR="00701A2C">
      <w:rPr>
        <w:rFonts w:cs="Arial"/>
        <w:bCs/>
        <w:sz w:val="18"/>
        <w:szCs w:val="18"/>
      </w:rPr>
      <w:t xml:space="preserve"> </w:t>
    </w:r>
    <w:r w:rsidRPr="008D5538">
      <w:rPr>
        <w:rFonts w:cs="Arial"/>
        <w:sz w:val="18"/>
        <w:szCs w:val="18"/>
      </w:rPr>
      <w:t>Listagem de Não Conformidades</w:t>
    </w:r>
    <w:r w:rsidR="002C25EE">
      <w:rPr>
        <w:rFonts w:cs="Arial"/>
        <w:sz w:val="18"/>
        <w:szCs w:val="18"/>
      </w:rPr>
      <w:t xml:space="preserve"> (NCs)</w:t>
    </w:r>
    <w:r w:rsidR="009D5A72">
      <w:rPr>
        <w:rFonts w:cs="Arial"/>
        <w:sz w:val="18"/>
        <w:szCs w:val="18"/>
      </w:rPr>
      <w:t xml:space="preserve"> </w:t>
    </w:r>
    <w:r w:rsidR="002C25EE">
      <w:rPr>
        <w:rFonts w:cs="Arial"/>
        <w:sz w:val="18"/>
        <w:szCs w:val="18"/>
      </w:rPr>
      <w:t>p</w:t>
    </w:r>
    <w:r w:rsidRPr="008D5538">
      <w:rPr>
        <w:rFonts w:cs="Arial"/>
        <w:sz w:val="18"/>
        <w:szCs w:val="18"/>
      </w:rPr>
      <w:t xml:space="preserve">reviamente </w:t>
    </w:r>
    <w:r w:rsidR="002C25EE">
      <w:rPr>
        <w:rFonts w:cs="Arial"/>
        <w:sz w:val="18"/>
        <w:szCs w:val="18"/>
      </w:rPr>
      <w:t>c</w:t>
    </w:r>
    <w:r w:rsidRPr="008D5538">
      <w:rPr>
        <w:rFonts w:cs="Arial"/>
        <w:sz w:val="18"/>
        <w:szCs w:val="18"/>
      </w:rPr>
      <w:t>ategorizadas pelo POP-T-DVMC-048</w:t>
    </w:r>
    <w:r w:rsidR="002E2EE4">
      <w:rPr>
        <w:rFonts w:cs="Arial"/>
        <w:sz w:val="18"/>
        <w:szCs w:val="18"/>
      </w:rPr>
      <w:t>.</w:t>
    </w:r>
  </w:p>
  <w:p w14:paraId="69DB00D5" w14:textId="3C617BE9" w:rsidR="0041154F" w:rsidRDefault="001A6EEB" w:rsidP="009D5A72">
    <w:pPr>
      <w:pStyle w:val="Rodap"/>
      <w:spacing w:line="240" w:lineRule="auto"/>
      <w:jc w:val="right"/>
      <w:rPr>
        <w:rFonts w:cs="Arial"/>
        <w:sz w:val="18"/>
        <w:szCs w:val="18"/>
      </w:rPr>
    </w:pPr>
    <w:r>
      <w:rPr>
        <w:rFonts w:cs="Arial"/>
        <w:sz w:val="18"/>
        <w:szCs w:val="18"/>
      </w:rPr>
      <w:t xml:space="preserve">PROCEDIMENTO </w:t>
    </w:r>
    <w:r w:rsidR="008D5538" w:rsidRPr="008D5538">
      <w:rPr>
        <w:rFonts w:cs="Arial"/>
        <w:sz w:val="18"/>
        <w:szCs w:val="18"/>
      </w:rPr>
      <w:t>OPERACIONAL: Categorização de não conformidades e classificação de drogarias quanto ao cumprimento das boas práticas e determinação do risco regulatório</w:t>
    </w:r>
    <w:r w:rsidR="008D5538" w:rsidRPr="008D5538">
      <w:rPr>
        <w:rFonts w:cs="Arial"/>
        <w:color w:val="000000"/>
        <w:sz w:val="18"/>
        <w:szCs w:val="18"/>
      </w:rPr>
      <w:t xml:space="preserve"> – POP-T-DVMC-048</w:t>
    </w:r>
    <w:r w:rsidR="009D5A72">
      <w:rPr>
        <w:rFonts w:cs="Arial"/>
        <w:color w:val="000000"/>
        <w:sz w:val="18"/>
        <w:szCs w:val="18"/>
      </w:rPr>
      <w:t xml:space="preserve"> </w:t>
    </w:r>
    <w:r w:rsidR="008D5538" w:rsidRPr="008D5538">
      <w:rPr>
        <w:rFonts w:cs="Arial"/>
        <w:color w:val="000000"/>
        <w:sz w:val="18"/>
        <w:szCs w:val="18"/>
      </w:rPr>
      <w:t>–</w:t>
    </w:r>
    <w:r w:rsidR="002E2EE4">
      <w:rPr>
        <w:rFonts w:cs="Arial"/>
        <w:color w:val="000000"/>
        <w:sz w:val="18"/>
        <w:szCs w:val="18"/>
      </w:rPr>
      <w:t>Versão</w:t>
    </w:r>
    <w:r w:rsidR="009D5A72">
      <w:rPr>
        <w:rFonts w:cs="Arial"/>
        <w:color w:val="000000"/>
        <w:sz w:val="18"/>
        <w:szCs w:val="18"/>
      </w:rPr>
      <w:t xml:space="preserve"> </w:t>
    </w:r>
    <w:r w:rsidR="0041154F">
      <w:rPr>
        <w:rFonts w:cs="Arial"/>
        <w:color w:val="000000"/>
        <w:sz w:val="18"/>
        <w:szCs w:val="18"/>
      </w:rPr>
      <w:t>n°</w:t>
    </w:r>
    <w:r w:rsidR="00C67F67">
      <w:rPr>
        <w:rFonts w:cs="Arial"/>
        <w:color w:val="000000"/>
        <w:sz w:val="18"/>
        <w:szCs w:val="18"/>
      </w:rPr>
      <w:t>1.</w:t>
    </w:r>
    <w:r w:rsidR="008D5538" w:rsidRPr="008D5538">
      <w:rPr>
        <w:rFonts w:cs="Arial"/>
        <w:color w:val="000000"/>
        <w:sz w:val="18"/>
        <w:szCs w:val="18"/>
      </w:rPr>
      <w:t>1</w:t>
    </w:r>
    <w:r w:rsidR="0041154F">
      <w:rPr>
        <w:rFonts w:cs="Arial"/>
        <w:sz w:val="18"/>
        <w:szCs w:val="18"/>
      </w:rPr>
      <w:t>.</w:t>
    </w:r>
  </w:p>
  <w:p w14:paraId="11BBE464" w14:textId="44259036" w:rsidR="008D5538" w:rsidRPr="0041154F" w:rsidRDefault="008D5538" w:rsidP="009D5A72">
    <w:pPr>
      <w:pStyle w:val="Rodap"/>
      <w:spacing w:line="240" w:lineRule="auto"/>
      <w:jc w:val="right"/>
      <w:rPr>
        <w:rFonts w:cs="Arial"/>
        <w:b/>
        <w:bCs/>
        <w:sz w:val="18"/>
        <w:szCs w:val="18"/>
      </w:rPr>
    </w:pPr>
    <w:r w:rsidRPr="0041154F">
      <w:rPr>
        <w:rFonts w:cs="Arial"/>
        <w:b/>
        <w:bCs/>
        <w:sz w:val="18"/>
        <w:szCs w:val="18"/>
      </w:rPr>
      <w:t xml:space="preserve"> Página </w:t>
    </w:r>
    <w:r w:rsidR="00E34BBD" w:rsidRPr="0041154F">
      <w:rPr>
        <w:rFonts w:cs="Arial"/>
        <w:b/>
        <w:bCs/>
        <w:sz w:val="18"/>
        <w:szCs w:val="18"/>
      </w:rPr>
      <w:fldChar w:fldCharType="begin"/>
    </w:r>
    <w:r w:rsidRPr="0041154F">
      <w:rPr>
        <w:rFonts w:cs="Arial"/>
        <w:b/>
        <w:bCs/>
        <w:sz w:val="18"/>
        <w:szCs w:val="18"/>
      </w:rPr>
      <w:instrText xml:space="preserve"> PAGE </w:instrText>
    </w:r>
    <w:r w:rsidR="00E34BBD" w:rsidRPr="0041154F">
      <w:rPr>
        <w:rFonts w:cs="Arial"/>
        <w:b/>
        <w:bCs/>
        <w:sz w:val="18"/>
        <w:szCs w:val="18"/>
      </w:rPr>
      <w:fldChar w:fldCharType="separate"/>
    </w:r>
    <w:r w:rsidR="00A35946">
      <w:rPr>
        <w:rFonts w:cs="Arial"/>
        <w:b/>
        <w:bCs/>
        <w:noProof/>
        <w:sz w:val="18"/>
        <w:szCs w:val="18"/>
      </w:rPr>
      <w:t>6</w:t>
    </w:r>
    <w:r w:rsidR="00E34BBD" w:rsidRPr="0041154F">
      <w:rPr>
        <w:rFonts w:cs="Arial"/>
        <w:b/>
        <w:bCs/>
        <w:sz w:val="18"/>
        <w:szCs w:val="18"/>
      </w:rPr>
      <w:fldChar w:fldCharType="end"/>
    </w:r>
    <w:r w:rsidRPr="0041154F">
      <w:rPr>
        <w:rFonts w:cs="Arial"/>
        <w:b/>
        <w:bCs/>
        <w:sz w:val="18"/>
        <w:szCs w:val="18"/>
      </w:rPr>
      <w:t xml:space="preserve"> de </w:t>
    </w:r>
    <w:r w:rsidR="00E34BBD" w:rsidRPr="0041154F">
      <w:rPr>
        <w:rFonts w:cs="Arial"/>
        <w:b/>
        <w:bCs/>
        <w:sz w:val="18"/>
        <w:szCs w:val="18"/>
      </w:rPr>
      <w:fldChar w:fldCharType="begin"/>
    </w:r>
    <w:r w:rsidRPr="0041154F">
      <w:rPr>
        <w:rFonts w:cs="Arial"/>
        <w:b/>
        <w:bCs/>
        <w:sz w:val="18"/>
        <w:szCs w:val="18"/>
      </w:rPr>
      <w:instrText xml:space="preserve"> NUMPAGES </w:instrText>
    </w:r>
    <w:r w:rsidR="00E34BBD" w:rsidRPr="0041154F">
      <w:rPr>
        <w:rFonts w:cs="Arial"/>
        <w:b/>
        <w:bCs/>
        <w:sz w:val="18"/>
        <w:szCs w:val="18"/>
      </w:rPr>
      <w:fldChar w:fldCharType="separate"/>
    </w:r>
    <w:r w:rsidR="00A35946">
      <w:rPr>
        <w:rFonts w:cs="Arial"/>
        <w:b/>
        <w:bCs/>
        <w:noProof/>
        <w:sz w:val="18"/>
        <w:szCs w:val="18"/>
      </w:rPr>
      <w:t>22</w:t>
    </w:r>
    <w:r w:rsidR="00E34BBD" w:rsidRPr="0041154F">
      <w:rPr>
        <w:rFonts w:cs="Arial"/>
        <w:b/>
        <w:bCs/>
        <w:sz w:val="18"/>
        <w:szCs w:val="18"/>
      </w:rPr>
      <w:fldChar w:fldCharType="end"/>
    </w:r>
  </w:p>
  <w:p w14:paraId="70359137" w14:textId="77777777" w:rsidR="001C4F50" w:rsidRDefault="001C4F50" w:rsidP="009D5A72">
    <w:pPr>
      <w:pStyle w:val="Rodap"/>
      <w:jc w:val="right"/>
    </w:pPr>
  </w:p>
  <w:p w14:paraId="5210D05C" w14:textId="77777777" w:rsidR="001C4F50" w:rsidRDefault="001C4F50">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D21B" w14:textId="77777777" w:rsidR="001A6EEB" w:rsidRDefault="001A6E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DE12E" w14:textId="77777777" w:rsidR="00634927" w:rsidRDefault="00634927" w:rsidP="001C4F50">
      <w:pPr>
        <w:spacing w:line="240" w:lineRule="auto"/>
      </w:pPr>
      <w:r>
        <w:separator/>
      </w:r>
    </w:p>
  </w:footnote>
  <w:footnote w:type="continuationSeparator" w:id="0">
    <w:p w14:paraId="11DDDEFF" w14:textId="77777777" w:rsidR="00634927" w:rsidRDefault="00634927" w:rsidP="001C4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C355D" w14:textId="77777777" w:rsidR="001A6EEB" w:rsidRDefault="001A6EEB">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19E92" w14:textId="227E4D70" w:rsidR="00872036" w:rsidRDefault="00501F42" w:rsidP="001C4F50">
    <w:pPr>
      <w:tabs>
        <w:tab w:val="center" w:pos="4252"/>
        <w:tab w:val="right" w:pos="8504"/>
      </w:tabs>
      <w:spacing w:before="709"/>
    </w:pPr>
    <w:r>
      <w:rPr>
        <w:noProof/>
      </w:rPr>
      <mc:AlternateContent>
        <mc:Choice Requires="wps">
          <w:drawing>
            <wp:anchor distT="45720" distB="45720" distL="114300" distR="114300" simplePos="0" relativeHeight="251659264" behindDoc="0" locked="0" layoutInCell="1" allowOverlap="1" wp14:anchorId="0589CCD3" wp14:editId="66ECB8E6">
              <wp:simplePos x="0" y="0"/>
              <wp:positionH relativeFrom="column">
                <wp:posOffset>1015365</wp:posOffset>
              </wp:positionH>
              <wp:positionV relativeFrom="paragraph">
                <wp:posOffset>466725</wp:posOffset>
              </wp:positionV>
              <wp:extent cx="4629150" cy="942975"/>
              <wp:effectExtent l="0" t="0" r="0" b="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942975"/>
                      </a:xfrm>
                      <a:prstGeom prst="rect">
                        <a:avLst/>
                      </a:prstGeom>
                      <a:solidFill>
                        <a:srgbClr val="FFFFFF"/>
                      </a:solidFill>
                      <a:ln w="9525">
                        <a:noFill/>
                        <a:miter lim="800000"/>
                        <a:headEnd/>
                        <a:tailEnd/>
                      </a:ln>
                    </wps:spPr>
                    <wps:txbx>
                      <w:txbxContent>
                        <w:p w14:paraId="29A32557" w14:textId="77777777" w:rsidR="00EA4DBF" w:rsidRPr="004B015A" w:rsidRDefault="00EA4DBF" w:rsidP="00EA4DBF">
                          <w:pPr>
                            <w:pStyle w:val="Pargrafobsico"/>
                            <w:spacing w:line="360" w:lineRule="auto"/>
                            <w:rPr>
                              <w:rFonts w:ascii="Times New Roman" w:hAnsi="Times New Roman" w:cs="Times New Roman"/>
                              <w:b/>
                            </w:rPr>
                          </w:pPr>
                          <w:r w:rsidRPr="004B015A">
                            <w:rPr>
                              <w:rFonts w:ascii="Times New Roman" w:hAnsi="Times New Roman" w:cs="Times New Roman"/>
                              <w:b/>
                            </w:rPr>
                            <w:t>SECRETARIA DE ESTADO DE SAÚDE DE MINAS GERAIS</w:t>
                          </w:r>
                        </w:p>
                        <w:p w14:paraId="72DC3725" w14:textId="77777777" w:rsidR="00EA4DBF" w:rsidRPr="004B015A" w:rsidRDefault="00EA4DBF" w:rsidP="00EA4DBF">
                          <w:pPr>
                            <w:pStyle w:val="Pargrafobsico"/>
                            <w:spacing w:line="360" w:lineRule="auto"/>
                            <w:rPr>
                              <w:rFonts w:ascii="Times New Roman" w:hAnsi="Times New Roman" w:cs="Times New Roman"/>
                              <w:b/>
                            </w:rPr>
                          </w:pPr>
                          <w:r w:rsidRPr="004B015A">
                            <w:rPr>
                              <w:rFonts w:ascii="Times New Roman" w:hAnsi="Times New Roman" w:cs="Times New Roman"/>
                              <w:b/>
                            </w:rPr>
                            <w:t>SUPERINTENDÊNCIA DE VIGILÂNCIA SANITÁRIA</w:t>
                          </w:r>
                        </w:p>
                        <w:p w14:paraId="053C7DA8" w14:textId="77777777" w:rsidR="00872036" w:rsidRDefault="008720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89CCD3" id="_x0000_t202" coordsize="21600,21600" o:spt="202" path="m,l,21600r21600,l21600,xe">
              <v:stroke joinstyle="miter"/>
              <v:path gradientshapeok="t" o:connecttype="rect"/>
            </v:shapetype>
            <v:shape id="Caixa de Texto 1" o:spid="_x0000_s1026" type="#_x0000_t202" style="position:absolute;left:0;text-align:left;margin-left:79.95pt;margin-top:36.75pt;width:364.5pt;height:7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" stroked="f">
              <v:textbox>
                <w:txbxContent>
                  <w:p w14:paraId="29A32557" w14:textId="77777777" w:rsidR="00EA4DBF" w:rsidRPr="004B015A" w:rsidRDefault="00EA4DBF" w:rsidP="00EA4DBF">
                    <w:pPr>
                      <w:pStyle w:val="Pargrafobsico"/>
                      <w:spacing w:line="360" w:lineRule="auto"/>
                      <w:rPr>
                        <w:rFonts w:ascii="Times New Roman" w:hAnsi="Times New Roman" w:cs="Times New Roman"/>
                        <w:b/>
                      </w:rPr>
                    </w:pPr>
                    <w:r w:rsidRPr="004B015A">
                      <w:rPr>
                        <w:rFonts w:ascii="Times New Roman" w:hAnsi="Times New Roman" w:cs="Times New Roman"/>
                        <w:b/>
                      </w:rPr>
                      <w:t>SECRETARIA DE ESTADO DE SAÚDE DE MINAS GERAIS</w:t>
                    </w:r>
                  </w:p>
                  <w:p w14:paraId="72DC3725" w14:textId="77777777" w:rsidR="00EA4DBF" w:rsidRPr="004B015A" w:rsidRDefault="00EA4DBF" w:rsidP="00EA4DBF">
                    <w:pPr>
                      <w:pStyle w:val="Pargrafobsico"/>
                      <w:spacing w:line="360" w:lineRule="auto"/>
                      <w:rPr>
                        <w:rFonts w:ascii="Times New Roman" w:hAnsi="Times New Roman" w:cs="Times New Roman"/>
                        <w:b/>
                      </w:rPr>
                    </w:pPr>
                    <w:r w:rsidRPr="004B015A">
                      <w:rPr>
                        <w:rFonts w:ascii="Times New Roman" w:hAnsi="Times New Roman" w:cs="Times New Roman"/>
                        <w:b/>
                      </w:rPr>
                      <w:t>SUPERINTENDÊNCIA DE VIGILÂNCIA SANITÁRIA</w:t>
                    </w:r>
                  </w:p>
                  <w:p w14:paraId="053C7DA8" w14:textId="77777777" w:rsidR="00872036" w:rsidRDefault="00872036"/>
                </w:txbxContent>
              </v:textbox>
              <w10:wrap type="square"/>
            </v:shape>
          </w:pict>
        </mc:Fallback>
      </mc:AlternateContent>
    </w:r>
    <w:r w:rsidR="00872036">
      <w:rPr>
        <w:noProof/>
      </w:rPr>
      <w:drawing>
        <wp:inline distT="0" distB="0" distL="0" distR="0" wp14:anchorId="12835B40" wp14:editId="54505A40">
          <wp:extent cx="895350" cy="855341"/>
          <wp:effectExtent l="0" t="0" r="0" b="2540"/>
          <wp:docPr id="836967897" name="Imagem 83696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226" cy="875284"/>
                  </a:xfrm>
                  <a:prstGeom prst="rect">
                    <a:avLst/>
                  </a:prstGeom>
                  <a:noFill/>
                  <a:ln>
                    <a:noFill/>
                  </a:ln>
                </pic:spPr>
              </pic:pic>
            </a:graphicData>
          </a:graphic>
        </wp:inline>
      </w:drawing>
    </w:r>
  </w:p>
  <w:p w14:paraId="2ECCFB57" w14:textId="77777777" w:rsidR="001C4F50" w:rsidRDefault="001C4F5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137EA" w14:textId="77777777" w:rsidR="001A6EEB" w:rsidRDefault="001A6EE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024D8"/>
    <w:multiLevelType w:val="hybridMultilevel"/>
    <w:tmpl w:val="F782F15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30747EBB"/>
    <w:multiLevelType w:val="hybridMultilevel"/>
    <w:tmpl w:val="E52416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56B641F"/>
    <w:multiLevelType w:val="hybridMultilevel"/>
    <w:tmpl w:val="0756EFE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4A7245E0"/>
    <w:multiLevelType w:val="hybridMultilevel"/>
    <w:tmpl w:val="324873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728105FF"/>
    <w:multiLevelType w:val="hybridMultilevel"/>
    <w:tmpl w:val="70363A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63E"/>
    <w:rsid w:val="000F7121"/>
    <w:rsid w:val="001A6EEB"/>
    <w:rsid w:val="001C4F50"/>
    <w:rsid w:val="0022599E"/>
    <w:rsid w:val="002C25EE"/>
    <w:rsid w:val="002E2EE4"/>
    <w:rsid w:val="003A5178"/>
    <w:rsid w:val="0041154F"/>
    <w:rsid w:val="004729FF"/>
    <w:rsid w:val="0048186E"/>
    <w:rsid w:val="00501F42"/>
    <w:rsid w:val="005B0A49"/>
    <w:rsid w:val="00634927"/>
    <w:rsid w:val="00701A2C"/>
    <w:rsid w:val="007643DC"/>
    <w:rsid w:val="00833D82"/>
    <w:rsid w:val="00872036"/>
    <w:rsid w:val="00882D8D"/>
    <w:rsid w:val="008D5538"/>
    <w:rsid w:val="008D766D"/>
    <w:rsid w:val="008E0A48"/>
    <w:rsid w:val="009D5A72"/>
    <w:rsid w:val="00A35946"/>
    <w:rsid w:val="00A47BD7"/>
    <w:rsid w:val="00AC09E6"/>
    <w:rsid w:val="00AD063E"/>
    <w:rsid w:val="00BD43BA"/>
    <w:rsid w:val="00BE5035"/>
    <w:rsid w:val="00C67F67"/>
    <w:rsid w:val="00C82DFF"/>
    <w:rsid w:val="00CD32D6"/>
    <w:rsid w:val="00CF3C9D"/>
    <w:rsid w:val="00D77269"/>
    <w:rsid w:val="00E210E9"/>
    <w:rsid w:val="00E34BBD"/>
    <w:rsid w:val="00E45ACA"/>
    <w:rsid w:val="00EA4DBF"/>
    <w:rsid w:val="00EB2798"/>
    <w:rsid w:val="00F579CC"/>
    <w:rsid w:val="00F63B7E"/>
    <w:rsid w:val="00FC40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7BA12"/>
  <w15:docId w15:val="{2FE79C09-1417-4C8F-BF1B-519D423A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63E"/>
    <w:rPr>
      <w:rFonts w:ascii="Arial" w:eastAsia="Times New Roman" w:hAnsi="Arial" w:cs="Times New Roman"/>
      <w:kern w:val="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D063E"/>
    <w:pPr>
      <w:spacing w:after="200" w:line="276" w:lineRule="auto"/>
      <w:ind w:left="720"/>
      <w:contextualSpacing/>
      <w:jc w:val="left"/>
    </w:pPr>
    <w:rPr>
      <w:rFonts w:ascii="Calibri" w:eastAsia="Calibri" w:hAnsi="Calibri"/>
      <w:sz w:val="22"/>
      <w:szCs w:val="22"/>
      <w:lang w:eastAsia="en-US"/>
    </w:rPr>
  </w:style>
  <w:style w:type="paragraph" w:styleId="Cabealho">
    <w:name w:val="header"/>
    <w:basedOn w:val="Normal"/>
    <w:link w:val="CabealhoChar"/>
    <w:uiPriority w:val="99"/>
    <w:unhideWhenUsed/>
    <w:rsid w:val="001C4F50"/>
    <w:pPr>
      <w:tabs>
        <w:tab w:val="center" w:pos="4252"/>
        <w:tab w:val="right" w:pos="8504"/>
      </w:tabs>
    </w:pPr>
  </w:style>
  <w:style w:type="character" w:customStyle="1" w:styleId="CabealhoChar">
    <w:name w:val="Cabeçalho Char"/>
    <w:basedOn w:val="Fontepargpadro"/>
    <w:link w:val="Cabealho"/>
    <w:uiPriority w:val="99"/>
    <w:rsid w:val="001C4F50"/>
    <w:rPr>
      <w:rFonts w:ascii="Arial" w:eastAsia="Times New Roman" w:hAnsi="Arial" w:cs="Times New Roman"/>
      <w:kern w:val="0"/>
      <w:sz w:val="24"/>
      <w:szCs w:val="20"/>
      <w:lang w:eastAsia="pt-BR"/>
    </w:rPr>
  </w:style>
  <w:style w:type="paragraph" w:styleId="Rodap">
    <w:name w:val="footer"/>
    <w:basedOn w:val="Normal"/>
    <w:link w:val="RodapChar"/>
    <w:unhideWhenUsed/>
    <w:rsid w:val="001C4F50"/>
    <w:pPr>
      <w:tabs>
        <w:tab w:val="center" w:pos="4252"/>
        <w:tab w:val="right" w:pos="8504"/>
      </w:tabs>
    </w:pPr>
  </w:style>
  <w:style w:type="character" w:customStyle="1" w:styleId="RodapChar">
    <w:name w:val="Rodapé Char"/>
    <w:basedOn w:val="Fontepargpadro"/>
    <w:link w:val="Rodap"/>
    <w:uiPriority w:val="99"/>
    <w:rsid w:val="001C4F50"/>
    <w:rPr>
      <w:rFonts w:ascii="Arial" w:eastAsia="Times New Roman" w:hAnsi="Arial" w:cs="Times New Roman"/>
      <w:kern w:val="0"/>
      <w:sz w:val="24"/>
      <w:szCs w:val="20"/>
      <w:lang w:eastAsia="pt-BR"/>
    </w:rPr>
  </w:style>
  <w:style w:type="character" w:customStyle="1" w:styleId="ui-provider">
    <w:name w:val="ui-provider"/>
    <w:basedOn w:val="Fontepargpadro"/>
    <w:rsid w:val="008D766D"/>
  </w:style>
  <w:style w:type="paragraph" w:customStyle="1" w:styleId="Pargrafobsico">
    <w:name w:val="[Parágrafo básico]"/>
    <w:basedOn w:val="Normal"/>
    <w:uiPriority w:val="99"/>
    <w:rsid w:val="00EA4DBF"/>
    <w:pPr>
      <w:autoSpaceDE w:val="0"/>
      <w:autoSpaceDN w:val="0"/>
      <w:adjustRightInd w:val="0"/>
      <w:spacing w:line="288" w:lineRule="auto"/>
      <w:jc w:val="left"/>
      <w:textAlignment w:val="center"/>
    </w:pPr>
    <w:rPr>
      <w:rFonts w:ascii="Minion Pro" w:eastAsia="Calibri" w:hAnsi="Minion Pro" w:cs="Minion Pro"/>
      <w:color w:val="000000"/>
      <w:szCs w:val="24"/>
      <w:lang w:eastAsia="en-US"/>
    </w:rPr>
  </w:style>
  <w:style w:type="character" w:styleId="Refdecomentrio">
    <w:name w:val="annotation reference"/>
    <w:basedOn w:val="Fontepargpadro"/>
    <w:uiPriority w:val="99"/>
    <w:semiHidden/>
    <w:unhideWhenUsed/>
    <w:rsid w:val="00BD43BA"/>
    <w:rPr>
      <w:sz w:val="16"/>
      <w:szCs w:val="16"/>
    </w:rPr>
  </w:style>
  <w:style w:type="paragraph" w:styleId="Textodecomentrio">
    <w:name w:val="annotation text"/>
    <w:basedOn w:val="Normal"/>
    <w:link w:val="TextodecomentrioChar"/>
    <w:uiPriority w:val="99"/>
    <w:semiHidden/>
    <w:unhideWhenUsed/>
    <w:rsid w:val="00BD43BA"/>
    <w:pPr>
      <w:spacing w:line="240" w:lineRule="auto"/>
    </w:pPr>
    <w:rPr>
      <w:sz w:val="20"/>
    </w:rPr>
  </w:style>
  <w:style w:type="character" w:customStyle="1" w:styleId="TextodecomentrioChar">
    <w:name w:val="Texto de comentário Char"/>
    <w:basedOn w:val="Fontepargpadro"/>
    <w:link w:val="Textodecomentrio"/>
    <w:uiPriority w:val="99"/>
    <w:semiHidden/>
    <w:rsid w:val="00BD43BA"/>
    <w:rPr>
      <w:rFonts w:ascii="Arial" w:eastAsia="Times New Roman" w:hAnsi="Arial" w:cs="Times New Roman"/>
      <w:kern w:val="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D43BA"/>
    <w:rPr>
      <w:b/>
      <w:bCs/>
    </w:rPr>
  </w:style>
  <w:style w:type="character" w:customStyle="1" w:styleId="AssuntodocomentrioChar">
    <w:name w:val="Assunto do comentário Char"/>
    <w:basedOn w:val="TextodecomentrioChar"/>
    <w:link w:val="Assuntodocomentrio"/>
    <w:uiPriority w:val="99"/>
    <w:semiHidden/>
    <w:rsid w:val="00BD43BA"/>
    <w:rPr>
      <w:rFonts w:ascii="Arial" w:eastAsia="Times New Roman" w:hAnsi="Arial" w:cs="Times New Roman"/>
      <w:b/>
      <w:bCs/>
      <w:kern w:val="0"/>
      <w:sz w:val="20"/>
      <w:szCs w:val="20"/>
      <w:lang w:eastAsia="pt-BR"/>
    </w:rPr>
  </w:style>
  <w:style w:type="paragraph" w:styleId="Textodebalo">
    <w:name w:val="Balloon Text"/>
    <w:basedOn w:val="Normal"/>
    <w:link w:val="TextodebaloChar"/>
    <w:uiPriority w:val="99"/>
    <w:semiHidden/>
    <w:unhideWhenUsed/>
    <w:rsid w:val="00EB279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B2798"/>
    <w:rPr>
      <w:rFonts w:ascii="Tahoma" w:eastAsia="Times New Roman" w:hAnsi="Tahoma" w:cs="Tahoma"/>
      <w:kern w:val="0"/>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61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4191</Words>
  <Characters>22637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Gabriel Felipe Maquine Simao</cp:lastModifiedBy>
  <cp:revision>2</cp:revision>
  <dcterms:created xsi:type="dcterms:W3CDTF">2025-02-07T11:41:00Z</dcterms:created>
  <dcterms:modified xsi:type="dcterms:W3CDTF">2025-02-07T11:41:00Z</dcterms:modified>
</cp:coreProperties>
</file>